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90"/>
        <w:spacing w:before="149" w:line="1158" w:lineRule="exact"/>
        <w:rPr>
          <w:rFonts w:ascii="SimSun" w:hAnsi="SimSun" w:eastAsia="SimSun" w:cs="SimSun"/>
          <w:sz w:val="75"/>
          <w:szCs w:val="75"/>
        </w:rPr>
      </w:pPr>
      <w:r>
        <w:rPr>
          <w:rFonts w:ascii="SimSun" w:hAnsi="SimSun" w:eastAsia="SimSun" w:cs="SimSun"/>
          <w:sz w:val="75"/>
          <w:szCs w:val="75"/>
          <w:b/>
          <w:bCs/>
          <w:color w:val="EC1624"/>
          <w:spacing w:val="-15"/>
          <w:position w:val="28"/>
        </w:rPr>
        <w:t>襄阳市建设工程咨询服务</w:t>
      </w:r>
    </w:p>
    <w:p>
      <w:pPr>
        <w:ind w:left="2360"/>
        <w:spacing w:before="2" w:line="218" w:lineRule="auto"/>
        <w:rPr>
          <w:rFonts w:ascii="SimSun" w:hAnsi="SimSun" w:eastAsia="SimSun" w:cs="SimSun"/>
          <w:sz w:val="75"/>
          <w:szCs w:val="75"/>
        </w:rPr>
      </w:pPr>
      <w:r>
        <w:rPr>
          <w:rFonts w:ascii="SimSun" w:hAnsi="SimSun" w:eastAsia="SimSun" w:cs="SimSun"/>
          <w:sz w:val="75"/>
          <w:szCs w:val="75"/>
          <w:b/>
          <w:bCs/>
          <w:color w:val="EC1624"/>
          <w:spacing w:val="-5"/>
        </w:rPr>
        <w:t>行业协会文件</w:t>
      </w:r>
    </w:p>
    <w:p>
      <w:pPr>
        <w:ind w:left="2970"/>
        <w:spacing w:before="226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襄建咨字〔2022〕12号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ind w:firstLine="9"/>
        <w:spacing w:line="60" w:lineRule="exact"/>
        <w:textAlignment w:val="center"/>
        <w:rPr/>
      </w:pPr>
      <w:r>
        <w:drawing>
          <wp:inline distT="0" distB="0" distL="0" distR="0">
            <wp:extent cx="5816616" cy="38045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16616" cy="3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166"/>
        <w:spacing w:before="144" w:line="841" w:lineRule="exact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4"/>
          <w:position w:val="30"/>
        </w:rPr>
        <w:t>关于印发《襄阳市建设工程咨询服务行业协会</w:t>
      </w:r>
    </w:p>
    <w:p>
      <w:pPr>
        <w:ind w:left="1516"/>
        <w:spacing w:before="1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5"/>
        </w:rPr>
        <w:t>团体标准管理暂行办法》的通知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spacing w:line="324" w:lineRule="auto"/>
        <w:rPr>
          <w:rFonts w:ascii="Arial"/>
          <w:sz w:val="21"/>
        </w:rPr>
      </w:pPr>
      <w:r/>
    </w:p>
    <w:p>
      <w:pPr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2"/>
        </w:rPr>
        <w:t>各会员单位、各有关单位：</w:t>
      </w:r>
    </w:p>
    <w:p>
      <w:pPr>
        <w:ind w:left="619"/>
        <w:spacing w:before="198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为开展襄阳市建设工程咨询服务行业协会团体标准建设工作，明</w:t>
      </w:r>
    </w:p>
    <w:p>
      <w:pPr>
        <w:spacing w:before="193" w:line="336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5"/>
        </w:rPr>
        <w:t>确团体标准制修订程序，规范团体标准的推行</w:t>
      </w:r>
      <w:r>
        <w:rPr>
          <w:rFonts w:ascii="FangSong" w:hAnsi="FangSong" w:eastAsia="FangSong" w:cs="FangSong"/>
          <w:sz w:val="31"/>
          <w:szCs w:val="31"/>
          <w:spacing w:val="-16"/>
        </w:rPr>
        <w:t>与应用，我会制定了《襄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阳市建设工程咨询服务行业协会团体标准管理暂行办法》,现予印发。</w:t>
      </w:r>
    </w:p>
    <w:p>
      <w:pPr>
        <w:ind w:left="619"/>
        <w:spacing w:before="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8"/>
        </w:rPr>
        <w:t>附件：襄阳市建设工程咨询服务行业协会团体标准管理暂行办法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ind w:right="94"/>
        <w:spacing w:before="101" w:line="222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4305316</wp:posOffset>
            </wp:positionH>
            <wp:positionV relativeFrom="paragraph">
              <wp:posOffset>-596358</wp:posOffset>
            </wp:positionV>
            <wp:extent cx="1466867" cy="1441468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66867" cy="1441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1"/>
          <w:szCs w:val="31"/>
          <w:spacing w:val="34"/>
        </w:rPr>
        <w:t>2022年8月31日</w:t>
      </w:r>
    </w:p>
    <w:p>
      <w:pPr>
        <w:sectPr>
          <w:pgSz w:w="11900" w:h="16830"/>
          <w:pgMar w:top="1319" w:right="1054" w:bottom="0" w:left="1589" w:header="0" w:footer="0" w:gutter="0"/>
        </w:sectPr>
        <w:rPr/>
      </w:pPr>
    </w:p>
    <w:p>
      <w:pPr>
        <w:ind w:left="3285" w:right="324" w:hanging="2729"/>
        <w:spacing w:before="89" w:line="226" w:lineRule="auto"/>
        <w:rPr>
          <w:rFonts w:ascii="FangSong" w:hAnsi="FangSong" w:eastAsia="FangSong" w:cs="FangSong"/>
          <w:sz w:val="43"/>
          <w:szCs w:val="43"/>
        </w:rPr>
      </w:pPr>
      <w:r>
        <w:rPr>
          <w:rFonts w:ascii="FangSong" w:hAnsi="FangSong" w:eastAsia="FangSong" w:cs="FangSong"/>
          <w:sz w:val="43"/>
          <w:szCs w:val="43"/>
          <w:b/>
          <w:bCs/>
          <w:spacing w:val="4"/>
        </w:rPr>
        <w:t>襄阳市建设工程咨询服务行业协会团体标准</w:t>
      </w:r>
      <w:r>
        <w:rPr>
          <w:rFonts w:ascii="FangSong" w:hAnsi="FangSong" w:eastAsia="FangSong" w:cs="FangSong"/>
          <w:sz w:val="43"/>
          <w:szCs w:val="43"/>
          <w:spacing w:val="1"/>
        </w:rPr>
        <w:t xml:space="preserve"> </w:t>
      </w:r>
      <w:r>
        <w:rPr>
          <w:rFonts w:ascii="FangSong" w:hAnsi="FangSong" w:eastAsia="FangSong" w:cs="FangSong"/>
          <w:sz w:val="43"/>
          <w:szCs w:val="43"/>
          <w:b/>
          <w:bCs/>
          <w:spacing w:val="-1"/>
        </w:rPr>
        <w:t>管理暂行办法</w:t>
      </w:r>
    </w:p>
    <w:p>
      <w:pPr>
        <w:spacing w:line="380" w:lineRule="auto"/>
        <w:rPr>
          <w:rFonts w:ascii="Arial"/>
          <w:sz w:val="21"/>
        </w:rPr>
      </w:pPr>
      <w:r/>
    </w:p>
    <w:p>
      <w:pPr>
        <w:ind w:left="3984"/>
        <w:spacing w:before="94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b/>
          <w:bCs/>
          <w:spacing w:val="6"/>
        </w:rPr>
        <w:t>第一章</w:t>
      </w:r>
      <w:r>
        <w:rPr>
          <w:rFonts w:ascii="FangSong" w:hAnsi="FangSong" w:eastAsia="FangSong" w:cs="FangSong"/>
          <w:sz w:val="29"/>
          <w:szCs w:val="29"/>
          <w:spacing w:val="5"/>
        </w:rPr>
        <w:t xml:space="preserve">  </w:t>
      </w:r>
      <w:r>
        <w:rPr>
          <w:rFonts w:ascii="FangSong" w:hAnsi="FangSong" w:eastAsia="FangSong" w:cs="FangSong"/>
          <w:sz w:val="29"/>
          <w:szCs w:val="29"/>
          <w:b/>
          <w:bCs/>
          <w:spacing w:val="6"/>
        </w:rPr>
        <w:t>总则</w:t>
      </w:r>
    </w:p>
    <w:p>
      <w:pPr>
        <w:spacing w:line="409" w:lineRule="auto"/>
        <w:rPr>
          <w:rFonts w:ascii="Arial"/>
          <w:sz w:val="21"/>
        </w:rPr>
      </w:pPr>
      <w:r/>
    </w:p>
    <w:p>
      <w:pPr>
        <w:ind w:firstLine="609"/>
        <w:spacing w:before="94" w:line="356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9"/>
        </w:rPr>
        <w:t>第一条</w:t>
      </w:r>
      <w:r>
        <w:rPr>
          <w:rFonts w:ascii="FangSong" w:hAnsi="FangSong" w:eastAsia="FangSong" w:cs="FangSong"/>
          <w:sz w:val="29"/>
          <w:szCs w:val="29"/>
          <w:spacing w:val="12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9"/>
        </w:rPr>
        <w:t>为依法合规开展襄阳市建设工程咨询服务行业协会(以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8"/>
        </w:rPr>
        <w:t>下简称襄阳市建设工程咨询服务行业协会)团体标准建设工作，根据</w:t>
      </w:r>
      <w:r>
        <w:rPr>
          <w:rFonts w:ascii="FangSong" w:hAnsi="FangSong" w:eastAsia="FangSong" w:cs="FangSong"/>
          <w:sz w:val="29"/>
          <w:szCs w:val="29"/>
          <w:spacing w:val="1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《中华人民共和国标准化法》</w:t>
      </w:r>
      <w:r>
        <w:rPr>
          <w:rFonts w:ascii="FangSong" w:hAnsi="FangSong" w:eastAsia="FangSong" w:cs="FangSong"/>
          <w:sz w:val="29"/>
          <w:szCs w:val="29"/>
          <w:spacing w:val="13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《国务院关于印</w:t>
      </w:r>
      <w:r>
        <w:rPr>
          <w:rFonts w:ascii="FangSong" w:hAnsi="FangSong" w:eastAsia="FangSong" w:cs="FangSong"/>
          <w:sz w:val="29"/>
          <w:szCs w:val="29"/>
          <w:spacing w:val="3"/>
        </w:rPr>
        <w:t>发深化标准化工作改革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"/>
        </w:rPr>
        <w:t>方案的通知》</w:t>
      </w:r>
      <w:r>
        <w:rPr>
          <w:rFonts w:ascii="FangSong" w:hAnsi="FangSong" w:eastAsia="FangSong" w:cs="FangSong"/>
          <w:sz w:val="29"/>
          <w:szCs w:val="29"/>
          <w:spacing w:val="10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"/>
        </w:rPr>
        <w:t>(国发〔2015〕13号)</w:t>
      </w:r>
      <w:r>
        <w:rPr>
          <w:rFonts w:ascii="FangSong" w:hAnsi="FangSong" w:eastAsia="FangSong" w:cs="FangSong"/>
          <w:sz w:val="29"/>
          <w:szCs w:val="29"/>
          <w:spacing w:val="8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"/>
        </w:rPr>
        <w:t>《团体标准管理规定》</w:t>
      </w:r>
      <w:r>
        <w:rPr>
          <w:rFonts w:ascii="FangSong" w:hAnsi="FangSong" w:eastAsia="FangSong" w:cs="FangSong"/>
          <w:sz w:val="29"/>
          <w:szCs w:val="29"/>
          <w:spacing w:val="13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"/>
        </w:rPr>
        <w:t>(国标委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联〔2019〕1号)和《襄阳市建设工程咨</w:t>
      </w:r>
      <w:r>
        <w:rPr>
          <w:rFonts w:ascii="FangSong" w:hAnsi="FangSong" w:eastAsia="FangSong" w:cs="FangSong"/>
          <w:sz w:val="29"/>
          <w:szCs w:val="29"/>
          <w:spacing w:val="6"/>
        </w:rPr>
        <w:t>询服务行业协会章程》等规定，</w:t>
      </w:r>
    </w:p>
    <w:p>
      <w:pPr>
        <w:spacing w:before="1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0"/>
        </w:rPr>
        <w:t>结合襄阳市建设工程咨询服务行业协会实际，</w:t>
      </w:r>
      <w:r>
        <w:rPr>
          <w:rFonts w:ascii="FangSong" w:hAnsi="FangSong" w:eastAsia="FangSong" w:cs="FangSong"/>
          <w:sz w:val="29"/>
          <w:szCs w:val="29"/>
          <w:spacing w:val="9"/>
        </w:rPr>
        <w:t>制定本办法。</w:t>
      </w:r>
    </w:p>
    <w:p>
      <w:pPr>
        <w:ind w:right="92" w:firstLine="609"/>
        <w:spacing w:before="211" w:line="357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3"/>
        </w:rPr>
        <w:t>第二条</w:t>
      </w:r>
      <w:r>
        <w:rPr>
          <w:rFonts w:ascii="FangSong" w:hAnsi="FangSong" w:eastAsia="FangSong" w:cs="FangSong"/>
          <w:sz w:val="29"/>
          <w:szCs w:val="29"/>
          <w:spacing w:val="13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3"/>
        </w:rPr>
        <w:t>本办法所称的团体标准，是指在襄阳市建设工程咨询服</w:t>
      </w:r>
      <w:r>
        <w:rPr>
          <w:rFonts w:ascii="FangSong" w:hAnsi="FangSong" w:eastAsia="FangSong" w:cs="FangSong"/>
          <w:sz w:val="29"/>
          <w:szCs w:val="29"/>
          <w:spacing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4"/>
        </w:rPr>
        <w:t>务行业协会章程规定的业务范围内，按照本办法规定的程序，在襄阳</w:t>
      </w:r>
      <w:r>
        <w:rPr>
          <w:rFonts w:ascii="FangSong" w:hAnsi="FangSong" w:eastAsia="FangSong" w:cs="FangSong"/>
          <w:sz w:val="29"/>
          <w:szCs w:val="29"/>
          <w:spacing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4"/>
        </w:rPr>
        <w:t>市建设工程咨询服务行业协会组织制定并发布</w:t>
      </w:r>
      <w:r>
        <w:rPr>
          <w:rFonts w:ascii="FangSong" w:hAnsi="FangSong" w:eastAsia="FangSong" w:cs="FangSong"/>
          <w:sz w:val="29"/>
          <w:szCs w:val="29"/>
          <w:spacing w:val="13"/>
        </w:rPr>
        <w:t>，供襄阳市建设工程咨</w:t>
      </w:r>
    </w:p>
    <w:p>
      <w:pPr>
        <w:spacing w:before="1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9"/>
        </w:rPr>
        <w:t>询服务行业协会及各县(市)区协会、会员单位或社会采用的标准。</w:t>
      </w:r>
    </w:p>
    <w:p>
      <w:pPr>
        <w:ind w:left="609"/>
        <w:spacing w:before="213" w:line="559" w:lineRule="exact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3"/>
          <w:position w:val="20"/>
        </w:rPr>
        <w:t>第三条</w:t>
      </w:r>
      <w:r>
        <w:rPr>
          <w:rFonts w:ascii="FangSong" w:hAnsi="FangSong" w:eastAsia="FangSong" w:cs="FangSong"/>
          <w:sz w:val="29"/>
          <w:szCs w:val="29"/>
          <w:spacing w:val="16"/>
          <w:position w:val="20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3"/>
          <w:position w:val="20"/>
        </w:rPr>
        <w:t>团体标准制修订和实施过程中接受国家和行业标准化主</w:t>
      </w:r>
    </w:p>
    <w:p>
      <w:pPr>
        <w:spacing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0"/>
        </w:rPr>
        <w:t>管部门的指导与监督，并遵守标准化工作的基本原理、方</w:t>
      </w:r>
      <w:r>
        <w:rPr>
          <w:rFonts w:ascii="FangSong" w:hAnsi="FangSong" w:eastAsia="FangSong" w:cs="FangSong"/>
          <w:sz w:val="29"/>
          <w:szCs w:val="29"/>
          <w:spacing w:val="9"/>
        </w:rPr>
        <w:t>法和程序。</w:t>
      </w:r>
    </w:p>
    <w:p>
      <w:pPr>
        <w:ind w:right="92" w:firstLine="609"/>
        <w:spacing w:before="214" w:line="357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3"/>
        </w:rPr>
        <w:t>第四条</w:t>
      </w:r>
      <w:r>
        <w:rPr>
          <w:rFonts w:ascii="FangSong" w:hAnsi="FangSong" w:eastAsia="FangSong" w:cs="FangSong"/>
          <w:sz w:val="29"/>
          <w:szCs w:val="29"/>
          <w:spacing w:val="14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3"/>
        </w:rPr>
        <w:t>团体标准应严格遵守国家有关法律法规，并与现行国家</w:t>
      </w:r>
      <w:r>
        <w:rPr>
          <w:rFonts w:ascii="FangSong" w:hAnsi="FangSong" w:eastAsia="FangSong" w:cs="FangSong"/>
          <w:sz w:val="29"/>
          <w:szCs w:val="29"/>
          <w:spacing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4"/>
        </w:rPr>
        <w:t>标准和行业标准保持一致。对于术语、分类、量值、符号等基础通用</w:t>
      </w:r>
      <w:r>
        <w:rPr>
          <w:rFonts w:ascii="FangSong" w:hAnsi="FangSong" w:eastAsia="FangSong" w:cs="FangSong"/>
          <w:sz w:val="29"/>
          <w:szCs w:val="29"/>
          <w:spacing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4"/>
        </w:rPr>
        <w:t>方面的内容，应当遵守国家标准和行业标准。团体标准的技</w:t>
      </w:r>
      <w:r>
        <w:rPr>
          <w:rFonts w:ascii="FangSong" w:hAnsi="FangSong" w:eastAsia="FangSong" w:cs="FangSong"/>
          <w:sz w:val="29"/>
          <w:szCs w:val="29"/>
          <w:spacing w:val="13"/>
        </w:rPr>
        <w:t>术要求不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4"/>
        </w:rPr>
        <w:t>得低于强制性标准的相关要求，鼓励在没有国家</w:t>
      </w:r>
      <w:r>
        <w:rPr>
          <w:rFonts w:ascii="FangSong" w:hAnsi="FangSong" w:eastAsia="FangSong" w:cs="FangSong"/>
          <w:sz w:val="29"/>
          <w:szCs w:val="29"/>
          <w:spacing w:val="13"/>
        </w:rPr>
        <w:t>标准或行业标准的领</w:t>
      </w:r>
    </w:p>
    <w:p>
      <w:pPr>
        <w:spacing w:before="1" w:line="22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0"/>
        </w:rPr>
        <w:t>域制定团体标准，鼓励制定具有国际领先水平的</w:t>
      </w:r>
      <w:r>
        <w:rPr>
          <w:rFonts w:ascii="FangSong" w:hAnsi="FangSong" w:eastAsia="FangSong" w:cs="FangSong"/>
          <w:sz w:val="29"/>
          <w:szCs w:val="29"/>
          <w:spacing w:val="9"/>
        </w:rPr>
        <w:t>团体标准。</w:t>
      </w:r>
    </w:p>
    <w:p>
      <w:pPr>
        <w:spacing w:line="442" w:lineRule="auto"/>
        <w:rPr>
          <w:rFonts w:ascii="Arial"/>
          <w:sz w:val="21"/>
        </w:rPr>
      </w:pPr>
      <w:r/>
    </w:p>
    <w:p>
      <w:pPr>
        <w:ind w:left="2934"/>
        <w:spacing w:before="94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b/>
          <w:bCs/>
          <w:spacing w:val="5"/>
        </w:rPr>
        <w:t>第二章</w:t>
      </w:r>
      <w:r>
        <w:rPr>
          <w:rFonts w:ascii="FangSong" w:hAnsi="FangSong" w:eastAsia="FangSong" w:cs="FangSong"/>
          <w:sz w:val="29"/>
          <w:szCs w:val="29"/>
          <w:spacing w:val="16"/>
        </w:rPr>
        <w:t xml:space="preserve">  </w:t>
      </w:r>
      <w:r>
        <w:rPr>
          <w:rFonts w:ascii="FangSong" w:hAnsi="FangSong" w:eastAsia="FangSong" w:cs="FangSong"/>
          <w:sz w:val="29"/>
          <w:szCs w:val="29"/>
          <w:b/>
          <w:bCs/>
          <w:spacing w:val="5"/>
        </w:rPr>
        <w:t>团体标准的组织管理</w:t>
      </w:r>
    </w:p>
    <w:p>
      <w:pPr>
        <w:sectPr>
          <w:pgSz w:w="11900" w:h="16830"/>
          <w:pgMar w:top="1376" w:right="1075" w:bottom="0" w:left="1609" w:header="0" w:footer="0" w:gutter="0"/>
        </w:sectPr>
        <w:rPr/>
      </w:pPr>
    </w:p>
    <w:p>
      <w:pPr>
        <w:ind w:left="629"/>
        <w:spacing w:before="136" w:line="565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  <w:position w:val="19"/>
        </w:rPr>
        <w:t>第五条</w:t>
      </w:r>
      <w:r>
        <w:rPr>
          <w:rFonts w:ascii="FangSong" w:hAnsi="FangSong" w:eastAsia="FangSong" w:cs="FangSong"/>
          <w:sz w:val="30"/>
          <w:szCs w:val="30"/>
          <w:spacing w:val="138"/>
          <w:position w:val="1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  <w:position w:val="19"/>
        </w:rPr>
        <w:t>襄阳市建设工程咨询服务行业协会负责团体标准的统一</w:t>
      </w:r>
    </w:p>
    <w:p>
      <w:pPr>
        <w:spacing w:before="1"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2"/>
        </w:rPr>
        <w:t>管理。</w:t>
      </w:r>
    </w:p>
    <w:p>
      <w:pPr>
        <w:ind w:right="9" w:firstLine="629"/>
        <w:spacing w:before="195" w:line="34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第六条</w:t>
      </w:r>
      <w:r>
        <w:rPr>
          <w:rFonts w:ascii="FangSong" w:hAnsi="FangSong" w:eastAsia="FangSong" w:cs="FangSong"/>
          <w:sz w:val="30"/>
          <w:szCs w:val="30"/>
          <w:spacing w:val="13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襄阳市建设工程咨询服务行业协会成立“团体标准领导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4"/>
        </w:rPr>
        <w:t>小组”</w:t>
      </w:r>
      <w:r>
        <w:rPr>
          <w:rFonts w:ascii="FangSong" w:hAnsi="FangSong" w:eastAsia="FangSong" w:cs="FangSong"/>
          <w:sz w:val="30"/>
          <w:szCs w:val="30"/>
          <w:spacing w:val="2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4"/>
        </w:rPr>
        <w:t>(以下简称领导小组),组长由襄阳市建设工程咨询服务行业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协会秘书长担任，成员由襄阳市建设工程咨询</w:t>
      </w:r>
      <w:r>
        <w:rPr>
          <w:rFonts w:ascii="FangSong" w:hAnsi="FangSong" w:eastAsia="FangSong" w:cs="FangSong"/>
          <w:sz w:val="30"/>
          <w:szCs w:val="30"/>
          <w:spacing w:val="3"/>
        </w:rPr>
        <w:t>服务行业协会领导班子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成员组成。领导小组负责襄阳市建设工程咨询服务行业协会团体标准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的立项审批、批准发布，以及襄阳市建设工程咨询服务行业协会团体</w:t>
      </w:r>
    </w:p>
    <w:p>
      <w:pPr>
        <w:spacing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</w:rPr>
        <w:t>标准化工作的决策和指导标准贯彻落实等工作。</w:t>
      </w:r>
    </w:p>
    <w:p>
      <w:pPr>
        <w:ind w:right="9" w:firstLine="629"/>
        <w:spacing w:before="205" w:line="34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6"/>
        </w:rPr>
        <w:t>第七条</w:t>
      </w:r>
      <w:r>
        <w:rPr>
          <w:rFonts w:ascii="FangSong" w:hAnsi="FangSong" w:eastAsia="FangSong" w:cs="FangSong"/>
          <w:sz w:val="30"/>
          <w:szCs w:val="30"/>
          <w:spacing w:val="14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领导小组下设“团体标准办公室”</w:t>
      </w:r>
      <w:r>
        <w:rPr>
          <w:rFonts w:ascii="FangSong" w:hAnsi="FangSong" w:eastAsia="FangSong" w:cs="FangSong"/>
          <w:sz w:val="30"/>
          <w:szCs w:val="30"/>
          <w:spacing w:val="-3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(以下简称团标办公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4"/>
        </w:rPr>
        <w:t>室),设在协会秘书处，承担襄阳市建设工程</w:t>
      </w:r>
      <w:r>
        <w:rPr>
          <w:rFonts w:ascii="FangSong" w:hAnsi="FangSong" w:eastAsia="FangSong" w:cs="FangSong"/>
          <w:sz w:val="30"/>
          <w:szCs w:val="30"/>
          <w:spacing w:val="13"/>
        </w:rPr>
        <w:t>咨询服务行业协会团体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标准建设的日常事务，包括团体标准的研究、制定、审查和修订等阶</w:t>
      </w:r>
    </w:p>
    <w:p>
      <w:pPr>
        <w:spacing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</w:rPr>
        <w:t>段的组织实施、沟通联络和日常管理等工作。</w:t>
      </w:r>
    </w:p>
    <w:p>
      <w:pPr>
        <w:ind w:left="629"/>
        <w:spacing w:before="202" w:line="560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  <w:position w:val="19"/>
        </w:rPr>
        <w:t>第八条</w:t>
      </w:r>
      <w:r>
        <w:rPr>
          <w:rFonts w:ascii="FangSong" w:hAnsi="FangSong" w:eastAsia="FangSong" w:cs="FangSong"/>
          <w:sz w:val="30"/>
          <w:szCs w:val="30"/>
          <w:spacing w:val="147"/>
          <w:position w:val="1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  <w:position w:val="19"/>
        </w:rPr>
        <w:t>襄阳市建设工程咨询服务行业协会团体标准化工作</w:t>
      </w:r>
      <w:r>
        <w:rPr>
          <w:rFonts w:ascii="FangSong" w:hAnsi="FangSong" w:eastAsia="FangSong" w:cs="FangSong"/>
          <w:sz w:val="30"/>
          <w:szCs w:val="30"/>
          <w:spacing w:val="4"/>
          <w:position w:val="19"/>
        </w:rPr>
        <w:t>中产</w:t>
      </w:r>
    </w:p>
    <w:p>
      <w:pPr>
        <w:spacing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</w:rPr>
        <w:t>生的制度文件、标准文本及其他工作文件由团标办公室归档。</w:t>
      </w:r>
    </w:p>
    <w:p>
      <w:pPr>
        <w:spacing w:line="429" w:lineRule="auto"/>
        <w:rPr>
          <w:rFonts w:ascii="Arial"/>
          <w:sz w:val="21"/>
        </w:rPr>
      </w:pPr>
      <w:r/>
    </w:p>
    <w:p>
      <w:pPr>
        <w:ind w:left="2804"/>
        <w:spacing w:before="9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4"/>
        </w:rPr>
        <w:t>第三章</w:t>
      </w:r>
      <w:r>
        <w:rPr>
          <w:rFonts w:ascii="FangSong" w:hAnsi="FangSong" w:eastAsia="FangSong" w:cs="FangSong"/>
          <w:sz w:val="30"/>
          <w:szCs w:val="30"/>
          <w:spacing w:val="10"/>
        </w:rPr>
        <w:t xml:space="preserve">  </w:t>
      </w:r>
      <w:r>
        <w:rPr>
          <w:rFonts w:ascii="FangSong" w:hAnsi="FangSong" w:eastAsia="FangSong" w:cs="FangSong"/>
          <w:sz w:val="30"/>
          <w:szCs w:val="30"/>
          <w:b/>
          <w:bCs/>
          <w:spacing w:val="-4"/>
        </w:rPr>
        <w:t>团体标准的制修订程序</w:t>
      </w:r>
    </w:p>
    <w:p>
      <w:pPr>
        <w:spacing w:line="404" w:lineRule="auto"/>
        <w:rPr>
          <w:rFonts w:ascii="Arial"/>
          <w:sz w:val="21"/>
        </w:rPr>
      </w:pPr>
      <w:r/>
    </w:p>
    <w:p>
      <w:pPr>
        <w:ind w:left="629"/>
        <w:spacing w:before="98" w:line="557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"/>
          <w:position w:val="19"/>
        </w:rPr>
        <w:t>第九条</w:t>
      </w:r>
      <w:r>
        <w:rPr>
          <w:rFonts w:ascii="FangSong" w:hAnsi="FangSong" w:eastAsia="FangSong" w:cs="FangSong"/>
          <w:sz w:val="30"/>
          <w:szCs w:val="30"/>
          <w:spacing w:val="16"/>
          <w:position w:val="19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2"/>
          <w:position w:val="19"/>
        </w:rPr>
        <w:t>团体标准制修订程序原则上应按照立项、起草、征求意</w:t>
      </w:r>
    </w:p>
    <w:p>
      <w:pPr>
        <w:spacing w:before="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</w:rPr>
        <w:t>见、技术审查、批准、编号、发布和复审等阶段进行。</w:t>
      </w:r>
    </w:p>
    <w:p>
      <w:pPr>
        <w:ind w:left="629"/>
        <w:spacing w:before="203" w:line="563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  <w:position w:val="19"/>
        </w:rPr>
        <w:t>第十条</w:t>
      </w:r>
      <w:r>
        <w:rPr>
          <w:rFonts w:ascii="FangSong" w:hAnsi="FangSong" w:eastAsia="FangSong" w:cs="FangSong"/>
          <w:sz w:val="30"/>
          <w:szCs w:val="30"/>
          <w:spacing w:val="8"/>
          <w:position w:val="19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4"/>
          <w:position w:val="19"/>
        </w:rPr>
        <w:t>符合以下条件的团体标准制修订项目，可视</w:t>
      </w:r>
      <w:r>
        <w:rPr>
          <w:rFonts w:ascii="FangSong" w:hAnsi="FangSong" w:eastAsia="FangSong" w:cs="FangSong"/>
          <w:sz w:val="30"/>
          <w:szCs w:val="30"/>
          <w:spacing w:val="3"/>
          <w:position w:val="19"/>
        </w:rPr>
        <w:t>情况采用快</w:t>
      </w:r>
    </w:p>
    <w:p>
      <w:pPr>
        <w:spacing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速程序：</w:t>
      </w:r>
    </w:p>
    <w:p>
      <w:pPr>
        <w:ind w:right="12" w:firstLine="780"/>
        <w:spacing w:before="200" w:line="34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9"/>
        </w:rPr>
        <w:t>(一)等同采用国际标准或国外先进标准的项目，或经一定规模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的实践检验证明可行的标准转化项目，可由立项阶段直接进</w:t>
      </w:r>
      <w:r>
        <w:rPr>
          <w:rFonts w:ascii="FangSong" w:hAnsi="FangSong" w:eastAsia="FangSong" w:cs="FangSong"/>
          <w:sz w:val="30"/>
          <w:szCs w:val="30"/>
          <w:spacing w:val="3"/>
        </w:rPr>
        <w:t>入征求意</w:t>
      </w:r>
    </w:p>
    <w:p>
      <w:pPr>
        <w:spacing w:before="1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</w:rPr>
        <w:t>见阶段。</w:t>
      </w:r>
    </w:p>
    <w:p>
      <w:pPr>
        <w:sectPr>
          <w:pgSz w:w="11900" w:h="16830"/>
          <w:pgMar w:top="1430" w:right="1178" w:bottom="0" w:left="1559" w:header="0" w:footer="0" w:gutter="0"/>
        </w:sectPr>
        <w:rPr/>
      </w:pPr>
    </w:p>
    <w:p>
      <w:pPr>
        <w:ind w:left="760"/>
        <w:spacing w:before="136" w:line="552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  <w:position w:val="18"/>
        </w:rPr>
        <w:t>(</w:t>
      </w:r>
      <w:r>
        <w:rPr>
          <w:rFonts w:ascii="FangSong" w:hAnsi="FangSong" w:eastAsia="FangSong" w:cs="FangSong"/>
          <w:sz w:val="30"/>
          <w:szCs w:val="30"/>
          <w:spacing w:val="-51"/>
          <w:position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  <w:position w:val="18"/>
        </w:rPr>
        <w:t>二</w:t>
      </w:r>
      <w:r>
        <w:rPr>
          <w:rFonts w:ascii="FangSong" w:hAnsi="FangSong" w:eastAsia="FangSong" w:cs="FangSong"/>
          <w:sz w:val="30"/>
          <w:szCs w:val="30"/>
          <w:spacing w:val="-69"/>
          <w:position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  <w:position w:val="18"/>
        </w:rPr>
        <w:t>)</w:t>
      </w:r>
      <w:r>
        <w:rPr>
          <w:rFonts w:ascii="FangSong" w:hAnsi="FangSong" w:eastAsia="FangSong" w:cs="FangSong"/>
          <w:sz w:val="30"/>
          <w:szCs w:val="30"/>
          <w:spacing w:val="63"/>
          <w:position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  <w:position w:val="18"/>
        </w:rPr>
        <w:t>对现行团体标准的修订项目，可由立项阶段直接进入</w:t>
      </w:r>
      <w:r>
        <w:rPr>
          <w:rFonts w:ascii="FangSong" w:hAnsi="FangSong" w:eastAsia="FangSong" w:cs="FangSong"/>
          <w:sz w:val="30"/>
          <w:szCs w:val="30"/>
          <w:spacing w:val="-4"/>
          <w:position w:val="18"/>
        </w:rPr>
        <w:t>技术</w:t>
      </w:r>
    </w:p>
    <w:p>
      <w:pPr>
        <w:spacing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0"/>
        </w:rPr>
        <w:t>审查阶段。</w:t>
      </w:r>
    </w:p>
    <w:p>
      <w:pPr>
        <w:ind w:left="4014"/>
        <w:spacing w:before="214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3"/>
        </w:rPr>
        <w:t>第一节</w:t>
      </w:r>
      <w:r>
        <w:rPr>
          <w:rFonts w:ascii="FangSong" w:hAnsi="FangSong" w:eastAsia="FangSong" w:cs="FangSong"/>
          <w:sz w:val="30"/>
          <w:szCs w:val="30"/>
          <w:spacing w:val="151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3"/>
        </w:rPr>
        <w:t>立项</w:t>
      </w:r>
    </w:p>
    <w:p>
      <w:pPr>
        <w:ind w:right="42" w:firstLine="609"/>
        <w:spacing w:before="213" w:line="34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5"/>
        </w:rPr>
        <w:t>第十一条</w:t>
      </w:r>
      <w:r>
        <w:rPr>
          <w:rFonts w:ascii="FangSong" w:hAnsi="FangSong" w:eastAsia="FangSong" w:cs="FangSong"/>
          <w:sz w:val="30"/>
          <w:szCs w:val="30"/>
          <w:spacing w:val="15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襄阳市建设工程咨询服务行业协会、各县(市)区协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会、会员单位均可提出团体标准的立项申请。</w:t>
      </w:r>
      <w:r>
        <w:rPr>
          <w:rFonts w:ascii="FangSong" w:hAnsi="FangSong" w:eastAsia="FangSong" w:cs="FangSong"/>
          <w:sz w:val="30"/>
          <w:szCs w:val="30"/>
          <w:spacing w:val="3"/>
        </w:rPr>
        <w:t>联合申请立项应明确牵</w:t>
      </w:r>
    </w:p>
    <w:p>
      <w:pPr>
        <w:spacing w:before="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头单位，并由牵头单位负责联络工作。</w:t>
      </w:r>
    </w:p>
    <w:p>
      <w:pPr>
        <w:ind w:left="609"/>
        <w:spacing w:before="202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第十二条</w:t>
      </w:r>
      <w:r>
        <w:rPr>
          <w:rFonts w:ascii="FangSong" w:hAnsi="FangSong" w:eastAsia="FangSong" w:cs="FangSong"/>
          <w:sz w:val="30"/>
          <w:szCs w:val="30"/>
          <w:spacing w:val="16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"/>
        </w:rPr>
        <w:t>团体标准申请单位提交的立项材料应包括：</w:t>
      </w:r>
    </w:p>
    <w:p>
      <w:pPr>
        <w:ind w:left="760"/>
        <w:spacing w:before="193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9"/>
        </w:rPr>
        <w:t>(</w:t>
      </w:r>
      <w:r>
        <w:rPr>
          <w:rFonts w:ascii="FangSong" w:hAnsi="FangSong" w:eastAsia="FangSong" w:cs="FangSong"/>
          <w:sz w:val="30"/>
          <w:szCs w:val="30"/>
          <w:spacing w:val="-8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9"/>
        </w:rPr>
        <w:t>一)团体标准立项申请表(见附1);</w:t>
      </w:r>
    </w:p>
    <w:p>
      <w:pPr>
        <w:ind w:left="760"/>
        <w:spacing w:before="224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(二)其他有助于说明团体标准立项情况的文件。</w:t>
      </w:r>
    </w:p>
    <w:p>
      <w:pPr>
        <w:ind w:left="609"/>
        <w:spacing w:before="187" w:line="570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"/>
          <w:position w:val="20"/>
        </w:rPr>
        <w:t>立项申请的标准分多个部分的，应分别提供各部分团体标准立项</w:t>
      </w:r>
    </w:p>
    <w:p>
      <w:pPr>
        <w:spacing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申请表等材料。</w:t>
      </w:r>
    </w:p>
    <w:p>
      <w:pPr>
        <w:ind w:left="760"/>
        <w:spacing w:before="193" w:line="575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  <w:position w:val="20"/>
        </w:rPr>
        <w:t>团体标准申请单位应确保立项材料内容完备、准确无误，并对内</w:t>
      </w:r>
    </w:p>
    <w:p>
      <w:pPr>
        <w:spacing w:before="2"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容负责。</w:t>
      </w:r>
    </w:p>
    <w:p>
      <w:pPr>
        <w:ind w:right="60" w:firstLine="609"/>
        <w:spacing w:before="205" w:line="34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"/>
        </w:rPr>
        <w:t>第十三条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2"/>
        </w:rPr>
        <w:t>团标办公室负责组织团体标准的立项评审。团标办公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室召集评审小组，采用函件或会议方式，对申请立项的团体标准必要</w:t>
      </w:r>
      <w:r>
        <w:rPr>
          <w:rFonts w:ascii="FangSong" w:hAnsi="FangSong" w:eastAsia="FangSong" w:cs="FangSong"/>
          <w:sz w:val="30"/>
          <w:szCs w:val="30"/>
          <w:spacing w:val="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性和可行性等方面进行评审，得出评审结论，形成团体标准立项评审</w:t>
      </w:r>
    </w:p>
    <w:p>
      <w:pPr>
        <w:spacing w:before="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3"/>
        </w:rPr>
        <w:t>表(见附2)。本阶段应保留详细的会议纪要、邮件往来内容等。</w:t>
      </w:r>
    </w:p>
    <w:p>
      <w:pPr>
        <w:ind w:right="59" w:firstLine="609"/>
        <w:spacing w:before="200" w:line="34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第十四条</w:t>
      </w:r>
      <w:r>
        <w:rPr>
          <w:rFonts w:ascii="FangSong" w:hAnsi="FangSong" w:eastAsia="FangSong" w:cs="FangSong"/>
          <w:sz w:val="30"/>
          <w:szCs w:val="30"/>
          <w:spacing w:val="13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评审小组由来自襄阳市建设工程咨询服</w:t>
      </w:r>
      <w:r>
        <w:rPr>
          <w:rFonts w:ascii="FangSong" w:hAnsi="FangSong" w:eastAsia="FangSong" w:cs="FangSong"/>
          <w:sz w:val="30"/>
          <w:szCs w:val="30"/>
          <w:spacing w:val="3"/>
        </w:rPr>
        <w:t>务行业协会、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各县(市)区协会、监管部门、高等院校、科研院所和企业等方面的</w:t>
      </w:r>
    </w:p>
    <w:p>
      <w:pPr>
        <w:spacing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0"/>
        </w:rPr>
        <w:t>专家组成，</w:t>
      </w:r>
      <w:r>
        <w:rPr>
          <w:rFonts w:ascii="FangSong" w:hAnsi="FangSong" w:eastAsia="FangSong" w:cs="FangSong"/>
          <w:sz w:val="30"/>
          <w:szCs w:val="30"/>
          <w:spacing w:val="10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0"/>
        </w:rPr>
        <w:t>一般不少于5人。</w:t>
      </w:r>
    </w:p>
    <w:p>
      <w:pPr>
        <w:ind w:right="61" w:firstLine="609"/>
        <w:spacing w:before="195" w:line="34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第十五条</w:t>
      </w:r>
      <w:r>
        <w:rPr>
          <w:rFonts w:ascii="FangSong" w:hAnsi="FangSong" w:eastAsia="FangSong" w:cs="FangSong"/>
          <w:sz w:val="30"/>
          <w:szCs w:val="30"/>
          <w:spacing w:val="13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原则上，不少于评审小组成员总人数的四分之三同意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方可通过立项评审。通过立项评审的团体标准，经领导小组审议同意</w:t>
      </w:r>
    </w:p>
    <w:p>
      <w:pPr>
        <w:spacing w:before="1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"/>
        </w:rPr>
        <w:t>后，即列入团体标准立项计划，由团标办公室组织开展团体标准起草</w:t>
      </w:r>
    </w:p>
    <w:p>
      <w:pPr>
        <w:sectPr>
          <w:pgSz w:w="11900" w:h="16830"/>
          <w:pgMar w:top="1430" w:right="1141" w:bottom="0" w:left="1589" w:header="0" w:footer="0" w:gutter="0"/>
        </w:sectPr>
        <w:rPr/>
      </w:pPr>
    </w:p>
    <w:p>
      <w:pPr>
        <w:spacing w:before="144" w:line="565" w:lineRule="exact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8"/>
          <w:position w:val="20"/>
        </w:rPr>
        <w:t>等后续工作。原则上，团体标准制修订工作应在列入立项计划后6个</w:t>
      </w:r>
    </w:p>
    <w:p>
      <w:pPr>
        <w:spacing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"/>
        </w:rPr>
        <w:t>月内完成。</w:t>
      </w:r>
    </w:p>
    <w:p>
      <w:pPr>
        <w:ind w:left="629"/>
        <w:spacing w:before="221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0"/>
        </w:rPr>
        <w:t>第十六条</w:t>
      </w:r>
      <w:r>
        <w:rPr>
          <w:rFonts w:ascii="FangSong" w:hAnsi="FangSong" w:eastAsia="FangSong" w:cs="FangSong"/>
          <w:sz w:val="29"/>
          <w:szCs w:val="29"/>
          <w:spacing w:val="12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0"/>
        </w:rPr>
        <w:t>未通过立项评审的团体标准，不予立项。</w:t>
      </w:r>
    </w:p>
    <w:p>
      <w:pPr>
        <w:ind w:left="4014"/>
        <w:spacing w:before="204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b/>
          <w:bCs/>
          <w:spacing w:val="8"/>
        </w:rPr>
        <w:t>第二节</w:t>
      </w:r>
      <w:r>
        <w:rPr>
          <w:rFonts w:ascii="FangSong" w:hAnsi="FangSong" w:eastAsia="FangSong" w:cs="FangSong"/>
          <w:sz w:val="29"/>
          <w:szCs w:val="29"/>
          <w:spacing w:val="144"/>
        </w:rPr>
        <w:t xml:space="preserve"> </w:t>
      </w:r>
      <w:r>
        <w:rPr>
          <w:rFonts w:ascii="FangSong" w:hAnsi="FangSong" w:eastAsia="FangSong" w:cs="FangSong"/>
          <w:sz w:val="29"/>
          <w:szCs w:val="29"/>
          <w:b/>
          <w:bCs/>
          <w:spacing w:val="8"/>
        </w:rPr>
        <w:t>起草</w:t>
      </w:r>
    </w:p>
    <w:p>
      <w:pPr>
        <w:ind w:right="87" w:firstLine="629"/>
        <w:spacing w:before="216" w:line="356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2"/>
        </w:rPr>
        <w:t>第十七条</w:t>
      </w:r>
      <w:r>
        <w:rPr>
          <w:rFonts w:ascii="FangSong" w:hAnsi="FangSong" w:eastAsia="FangSong" w:cs="FangSong"/>
          <w:sz w:val="29"/>
          <w:szCs w:val="29"/>
          <w:spacing w:val="31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2"/>
        </w:rPr>
        <w:t>团体标准申请单位负责组建团体标准起草组，报团标</w:t>
      </w:r>
      <w:r>
        <w:rPr>
          <w:rFonts w:ascii="FangSong" w:hAnsi="FangSong" w:eastAsia="FangSong" w:cs="FangSong"/>
          <w:sz w:val="29"/>
          <w:szCs w:val="29"/>
          <w:spacing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3"/>
        </w:rPr>
        <w:t>办公室审议同意后，按照本办法规定的团体标准制修订程序开展相关</w:t>
      </w:r>
      <w:r>
        <w:rPr>
          <w:rFonts w:ascii="FangSong" w:hAnsi="FangSong" w:eastAsia="FangSong" w:cs="FangSong"/>
          <w:sz w:val="29"/>
          <w:szCs w:val="29"/>
          <w:spacing w:val="1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3"/>
        </w:rPr>
        <w:t>工作。团体标准起草组成员应具有该领域标准化工作专业能力，具</w:t>
      </w:r>
      <w:r>
        <w:rPr>
          <w:rFonts w:ascii="FangSong" w:hAnsi="FangSong" w:eastAsia="FangSong" w:cs="FangSong"/>
          <w:sz w:val="29"/>
          <w:szCs w:val="29"/>
          <w:spacing w:val="12"/>
        </w:rPr>
        <w:t>有</w:t>
      </w:r>
    </w:p>
    <w:p>
      <w:pPr>
        <w:spacing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8"/>
        </w:rPr>
        <w:t>广泛的覆盖面和代表性。</w:t>
      </w:r>
    </w:p>
    <w:p>
      <w:pPr>
        <w:ind w:firstLine="629"/>
        <w:spacing w:before="212" w:line="357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"/>
        </w:rPr>
        <w:t>第十八条</w:t>
      </w:r>
      <w:r>
        <w:rPr>
          <w:rFonts w:ascii="FangSong" w:hAnsi="FangSong" w:eastAsia="FangSong" w:cs="FangSong"/>
          <w:sz w:val="29"/>
          <w:szCs w:val="29"/>
          <w:spacing w:val="11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3"/>
        </w:rPr>
        <w:t>团体标准应按照</w:t>
      </w:r>
      <w:r>
        <w:rPr>
          <w:rFonts w:ascii="FangSong" w:hAnsi="FangSong" w:eastAsia="FangSong" w:cs="FangSong"/>
          <w:sz w:val="29"/>
          <w:szCs w:val="29"/>
          <w:spacing w:val="-8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</w:rPr>
        <w:t>《</w:t>
      </w:r>
      <w:r>
        <w:rPr>
          <w:rFonts w:ascii="FangSong" w:hAnsi="FangSong" w:eastAsia="FangSong" w:cs="FangSong"/>
          <w:sz w:val="29"/>
          <w:szCs w:val="29"/>
        </w:rPr>
        <w:t>GB</w:t>
      </w:r>
      <w:r>
        <w:rPr>
          <w:rFonts w:ascii="FangSong" w:hAnsi="FangSong" w:eastAsia="FangSong" w:cs="FangSong"/>
          <w:sz w:val="29"/>
          <w:szCs w:val="29"/>
          <w:spacing w:val="3"/>
        </w:rPr>
        <w:t>/T1.1-2020</w:t>
      </w:r>
      <w:r>
        <w:rPr>
          <w:rFonts w:ascii="FangSong" w:hAnsi="FangSong" w:eastAsia="FangSong" w:cs="FangSong"/>
          <w:sz w:val="29"/>
          <w:szCs w:val="29"/>
          <w:spacing w:val="3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</w:rPr>
        <w:t>标准化工作导则》及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相关编制规则的要求起草，包含标准文本的所有必要要素，内容详细、</w:t>
      </w:r>
    </w:p>
    <w:p>
      <w:pPr>
        <w:spacing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3"/>
        </w:rPr>
        <w:t>具体、可操作。团体标准的封面格式要求见附3。</w:t>
      </w:r>
    </w:p>
    <w:p>
      <w:pPr>
        <w:ind w:right="99" w:firstLine="629"/>
        <w:spacing w:before="216" w:line="356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9"/>
        </w:rPr>
        <w:t>第十九条</w:t>
      </w:r>
      <w:r>
        <w:rPr>
          <w:rFonts w:ascii="FangSong" w:hAnsi="FangSong" w:eastAsia="FangSong" w:cs="FangSong"/>
          <w:sz w:val="29"/>
          <w:szCs w:val="29"/>
          <w:spacing w:val="15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9"/>
        </w:rPr>
        <w:t>本阶段应形成团体标准征求意见稿(以下简称征求意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2"/>
        </w:rPr>
        <w:t>见稿)和编制说明(见附4)。起草过程中的重要沟通</w:t>
      </w:r>
      <w:r>
        <w:rPr>
          <w:rFonts w:ascii="FangSong" w:hAnsi="FangSong" w:eastAsia="FangSong" w:cs="FangSong"/>
          <w:sz w:val="29"/>
          <w:szCs w:val="29"/>
          <w:spacing w:val="21"/>
        </w:rPr>
        <w:t>和协商记录可作</w:t>
      </w:r>
    </w:p>
    <w:p>
      <w:pPr>
        <w:spacing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9"/>
        </w:rPr>
        <w:t>为支撑性文本，随征求意见稿等文件进入征求意见阶段。</w:t>
      </w:r>
    </w:p>
    <w:p>
      <w:pPr>
        <w:ind w:left="3704"/>
        <w:spacing w:before="232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b/>
          <w:bCs/>
          <w:spacing w:val="8"/>
        </w:rPr>
        <w:t>第三节</w:t>
      </w:r>
      <w:r>
        <w:rPr>
          <w:rFonts w:ascii="FangSong" w:hAnsi="FangSong" w:eastAsia="FangSong" w:cs="FangSong"/>
          <w:sz w:val="29"/>
          <w:szCs w:val="29"/>
          <w:spacing w:val="4"/>
        </w:rPr>
        <w:t xml:space="preserve">  </w:t>
      </w:r>
      <w:r>
        <w:rPr>
          <w:rFonts w:ascii="FangSong" w:hAnsi="FangSong" w:eastAsia="FangSong" w:cs="FangSong"/>
          <w:sz w:val="29"/>
          <w:szCs w:val="29"/>
          <w:b/>
          <w:bCs/>
          <w:spacing w:val="8"/>
        </w:rPr>
        <w:t>征求意见</w:t>
      </w:r>
    </w:p>
    <w:p>
      <w:pPr>
        <w:ind w:firstLine="629"/>
        <w:spacing w:before="224" w:line="357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1"/>
        </w:rPr>
        <w:t>第二十条</w:t>
      </w:r>
      <w:r>
        <w:rPr>
          <w:rFonts w:ascii="FangSong" w:hAnsi="FangSong" w:eastAsia="FangSong" w:cs="FangSong"/>
          <w:sz w:val="29"/>
          <w:szCs w:val="29"/>
          <w:spacing w:val="26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1"/>
        </w:rPr>
        <w:t>团标办公室负责组织征求意见。征求意见的范围应覆</w:t>
      </w:r>
      <w:r>
        <w:rPr>
          <w:rFonts w:ascii="FangSong" w:hAnsi="FangSong" w:eastAsia="FangSong" w:cs="FangSong"/>
          <w:sz w:val="29"/>
          <w:szCs w:val="29"/>
          <w:spacing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3"/>
        </w:rPr>
        <w:t>盖团体标准涉及的相关方，必要时可向社会公开征求意见。</w:t>
      </w:r>
      <w:r>
        <w:rPr>
          <w:rFonts w:ascii="FangSong" w:hAnsi="FangSong" w:eastAsia="FangSong" w:cs="FangSong"/>
          <w:sz w:val="29"/>
          <w:szCs w:val="29"/>
          <w:spacing w:val="12"/>
        </w:rPr>
        <w:t>征求意见</w:t>
      </w:r>
      <w:r>
        <w:rPr>
          <w:rFonts w:ascii="FangSong" w:hAnsi="FangSong" w:eastAsia="FangSong" w:cs="FangSong"/>
          <w:sz w:val="29"/>
          <w:szCs w:val="2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7"/>
        </w:rPr>
        <w:t>一般采用函件或会议方式，应保留详细的会议纪要、邮件往来内容等。</w:t>
      </w:r>
      <w:r>
        <w:rPr>
          <w:rFonts w:ascii="FangSong" w:hAnsi="FangSong" w:eastAsia="FangSong" w:cs="FangSong"/>
          <w:sz w:val="29"/>
          <w:szCs w:val="29"/>
          <w:spacing w:val="1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征求意见应明确期限，</w:t>
      </w:r>
      <w:r>
        <w:rPr>
          <w:rFonts w:ascii="FangSong" w:hAnsi="FangSong" w:eastAsia="FangSong" w:cs="FangSong"/>
          <w:sz w:val="29"/>
          <w:szCs w:val="29"/>
          <w:spacing w:val="10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一般不少于30天。被征求意见的单位或个人逾</w:t>
      </w:r>
    </w:p>
    <w:p>
      <w:pPr>
        <w:spacing w:before="1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7"/>
        </w:rPr>
        <w:t>期未回复的按无异议处理。</w:t>
      </w:r>
    </w:p>
    <w:p>
      <w:pPr>
        <w:ind w:right="113" w:firstLine="629"/>
        <w:spacing w:before="209" w:line="356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3"/>
        </w:rPr>
        <w:t>第二十一条</w:t>
      </w:r>
      <w:r>
        <w:rPr>
          <w:rFonts w:ascii="FangSong" w:hAnsi="FangSong" w:eastAsia="FangSong" w:cs="FangSong"/>
          <w:sz w:val="29"/>
          <w:szCs w:val="29"/>
          <w:spacing w:val="14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3"/>
        </w:rPr>
        <w:t>起草组负责收集和整理反馈意见，编制团体标准征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2"/>
        </w:rPr>
        <w:t>求意见汇总处理表(见附5),对征求意见稿进行必要修改，形成团体</w:t>
      </w:r>
      <w:r>
        <w:rPr>
          <w:rFonts w:ascii="FangSong" w:hAnsi="FangSong" w:eastAsia="FangSong" w:cs="FangSong"/>
          <w:sz w:val="29"/>
          <w:szCs w:val="29"/>
          <w:spacing w:val="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3"/>
        </w:rPr>
        <w:t>标准送审稿(以下简称送审稿)。若反馈的意见分歧较大，可进行调</w:t>
      </w:r>
    </w:p>
    <w:p>
      <w:pPr>
        <w:spacing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3"/>
        </w:rPr>
        <w:t>查研究或补充验证工作，对征求意见稿有重大修改时，应再</w:t>
      </w:r>
      <w:r>
        <w:rPr>
          <w:rFonts w:ascii="FangSong" w:hAnsi="FangSong" w:eastAsia="FangSong" w:cs="FangSong"/>
          <w:sz w:val="29"/>
          <w:szCs w:val="29"/>
          <w:spacing w:val="12"/>
        </w:rPr>
        <w:t>次征求意</w:t>
      </w:r>
    </w:p>
    <w:p>
      <w:pPr>
        <w:sectPr>
          <w:pgSz w:w="11900" w:h="16830"/>
          <w:pgMar w:top="1430" w:right="1104" w:bottom="0" w:left="1569" w:header="0" w:footer="0" w:gutter="0"/>
        </w:sectPr>
        <w:rPr/>
      </w:pPr>
    </w:p>
    <w:p>
      <w:pPr>
        <w:spacing w:before="135" w:line="550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"/>
          <w:position w:val="18"/>
        </w:rPr>
        <w:t>见。此时，团体标准申请单位应主动向团标办公室提出延长或终止项</w:t>
      </w:r>
    </w:p>
    <w:p>
      <w:pPr>
        <w:ind w:left="70"/>
        <w:spacing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4"/>
        </w:rPr>
        <w:t>目申请。</w:t>
      </w:r>
    </w:p>
    <w:p>
      <w:pPr>
        <w:ind w:left="3704"/>
        <w:spacing w:before="219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"/>
        </w:rPr>
        <w:t>第四节</w:t>
      </w:r>
      <w:r>
        <w:rPr>
          <w:rFonts w:ascii="FangSong" w:hAnsi="FangSong" w:eastAsia="FangSong" w:cs="FangSong"/>
          <w:sz w:val="30"/>
          <w:szCs w:val="30"/>
          <w:spacing w:val="133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1"/>
        </w:rPr>
        <w:t>技术审查</w:t>
      </w:r>
    </w:p>
    <w:p>
      <w:pPr>
        <w:ind w:firstLine="599"/>
        <w:spacing w:before="195" w:line="34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"/>
        </w:rPr>
        <w:t>第二十二条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3"/>
        </w:rPr>
        <w:t>团标办公室负责组织团体标准的技术审查。团标办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公室召集审查小组，采用函件或会议方式，对团体标准的内容、意义、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编写格式等方面进行审查，得出审查结论，形成团体标准技术审查表</w:t>
      </w:r>
    </w:p>
    <w:p>
      <w:pPr>
        <w:ind w:left="160"/>
        <w:spacing w:before="2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9"/>
        </w:rPr>
        <w:t>(见附6)。本阶段应保留详细的会议纪要、邮件往来内</w:t>
      </w:r>
      <w:r>
        <w:rPr>
          <w:rFonts w:ascii="FangSong" w:hAnsi="FangSong" w:eastAsia="FangSong" w:cs="FangSong"/>
          <w:sz w:val="30"/>
          <w:szCs w:val="30"/>
          <w:spacing w:val="8"/>
        </w:rPr>
        <w:t>容等。</w:t>
      </w:r>
    </w:p>
    <w:p>
      <w:pPr>
        <w:ind w:right="115" w:firstLine="599"/>
        <w:spacing w:before="201" w:line="34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4"/>
        </w:rPr>
        <w:t>第二十三条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4"/>
        </w:rPr>
        <w:t>审查小组由来自襄阳市建设工程咨询服务行业协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会、地方协会、资产评估机构、监管部门、高</w:t>
      </w:r>
      <w:r>
        <w:rPr>
          <w:rFonts w:ascii="FangSong" w:hAnsi="FangSong" w:eastAsia="FangSong" w:cs="FangSong"/>
          <w:sz w:val="30"/>
          <w:szCs w:val="30"/>
          <w:spacing w:val="3"/>
        </w:rPr>
        <w:t>等院校、科研院所和企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业等方面的专家组成，</w:t>
      </w:r>
      <w:r>
        <w:rPr>
          <w:rFonts w:ascii="FangSong" w:hAnsi="FangSong" w:eastAsia="FangSong" w:cs="FangSong"/>
          <w:sz w:val="30"/>
          <w:szCs w:val="30"/>
          <w:spacing w:val="95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一般不少于5人。团体标准起草</w:t>
      </w:r>
      <w:r>
        <w:rPr>
          <w:rFonts w:ascii="FangSong" w:hAnsi="FangSong" w:eastAsia="FangSong" w:cs="FangSong"/>
          <w:sz w:val="30"/>
          <w:szCs w:val="30"/>
          <w:spacing w:val="-1"/>
        </w:rPr>
        <w:t>组成员及其所</w:t>
      </w:r>
    </w:p>
    <w:p>
      <w:pPr>
        <w:spacing w:before="1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</w:rPr>
        <w:t>在单位的专家应回避。</w:t>
      </w:r>
    </w:p>
    <w:p>
      <w:pPr>
        <w:ind w:left="599"/>
        <w:spacing w:before="205" w:line="560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"/>
          <w:position w:val="19"/>
        </w:rPr>
        <w:t>第二十四条</w:t>
      </w:r>
      <w:r>
        <w:rPr>
          <w:rFonts w:ascii="FangSong" w:hAnsi="FangSong" w:eastAsia="FangSong" w:cs="FangSong"/>
          <w:sz w:val="30"/>
          <w:szCs w:val="30"/>
          <w:spacing w:val="8"/>
          <w:position w:val="19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3"/>
          <w:position w:val="19"/>
        </w:rPr>
        <w:t>团体标准申请单位向团标办公室提交的团体标准</w:t>
      </w:r>
      <w:r>
        <w:rPr>
          <w:rFonts w:ascii="FangSong" w:hAnsi="FangSong" w:eastAsia="FangSong" w:cs="FangSong"/>
          <w:sz w:val="30"/>
          <w:szCs w:val="30"/>
          <w:spacing w:val="2"/>
          <w:position w:val="19"/>
        </w:rPr>
        <w:t>审</w:t>
      </w:r>
    </w:p>
    <w:p>
      <w:pPr>
        <w:spacing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查材料应包括：</w:t>
      </w:r>
    </w:p>
    <w:p>
      <w:pPr>
        <w:ind w:left="750"/>
        <w:spacing w:before="236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(</w:t>
      </w:r>
      <w:r>
        <w:rPr>
          <w:rFonts w:ascii="FangSong" w:hAnsi="FangSong" w:eastAsia="FangSong" w:cs="FangSong"/>
          <w:sz w:val="30"/>
          <w:szCs w:val="30"/>
          <w:spacing w:val="-8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一)送审稿；</w:t>
      </w:r>
    </w:p>
    <w:p>
      <w:pPr>
        <w:ind w:left="750"/>
        <w:spacing w:before="197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3"/>
        </w:rPr>
        <w:t>(二)编制说明；</w:t>
      </w:r>
    </w:p>
    <w:p>
      <w:pPr>
        <w:ind w:left="750"/>
        <w:spacing w:before="202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(三)团体标准征求意见汇总处理表；</w:t>
      </w:r>
    </w:p>
    <w:p>
      <w:pPr>
        <w:ind w:left="750"/>
        <w:spacing w:before="195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1"/>
        </w:rPr>
        <w:t>(四)其他支撑性文件。</w:t>
      </w:r>
    </w:p>
    <w:p>
      <w:pPr>
        <w:ind w:right="105" w:firstLine="599"/>
        <w:spacing w:before="197" w:line="34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第二十五条</w:t>
      </w:r>
      <w:r>
        <w:rPr>
          <w:rFonts w:ascii="FangSong" w:hAnsi="FangSong" w:eastAsia="FangSong" w:cs="FangSong"/>
          <w:sz w:val="30"/>
          <w:szCs w:val="30"/>
          <w:spacing w:val="13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原则上，不少于审查小组成员总人数的四分</w:t>
      </w:r>
      <w:r>
        <w:rPr>
          <w:rFonts w:ascii="FangSong" w:hAnsi="FangSong" w:eastAsia="FangSong" w:cs="FangSong"/>
          <w:sz w:val="30"/>
          <w:szCs w:val="30"/>
          <w:spacing w:val="4"/>
        </w:rPr>
        <w:t>之三同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意方可通过审查。通过审查的团体标准，起草组负责收集和整理</w:t>
      </w:r>
      <w:r>
        <w:rPr>
          <w:rFonts w:ascii="FangSong" w:hAnsi="FangSong" w:eastAsia="FangSong" w:cs="FangSong"/>
          <w:sz w:val="30"/>
          <w:szCs w:val="30"/>
          <w:spacing w:val="2"/>
        </w:rPr>
        <w:t>审查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意见，编制团体标准审查意见汇总处理表(见附7),对送审稿进行必</w:t>
      </w:r>
    </w:p>
    <w:p>
      <w:pPr>
        <w:spacing w:before="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3"/>
        </w:rPr>
        <w:t>要修改，形成团体标准报批稿(以下简称报批稿)。</w:t>
      </w:r>
    </w:p>
    <w:p>
      <w:pPr>
        <w:ind w:right="106" w:firstLine="599"/>
        <w:spacing w:before="202" w:line="34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"/>
        </w:rPr>
        <w:t>第二十六条</w:t>
      </w:r>
      <w:r>
        <w:rPr>
          <w:rFonts w:ascii="FangSong" w:hAnsi="FangSong" w:eastAsia="FangSong" w:cs="FangSong"/>
          <w:sz w:val="30"/>
          <w:szCs w:val="30"/>
          <w:spacing w:val="14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未通过审查的团体标准，由审查小组给出重新征求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意见、重新审查或终止项目的意见。此时，团体标准申请单位应主</w:t>
      </w:r>
      <w:r>
        <w:rPr>
          <w:rFonts w:ascii="FangSong" w:hAnsi="FangSong" w:eastAsia="FangSong" w:cs="FangSong"/>
          <w:sz w:val="30"/>
          <w:szCs w:val="30"/>
          <w:spacing w:val="3"/>
        </w:rPr>
        <w:t>动</w:t>
      </w:r>
    </w:p>
    <w:p>
      <w:pPr>
        <w:spacing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向团标办公室提出延长或终止项目申请。</w:t>
      </w:r>
    </w:p>
    <w:p>
      <w:pPr>
        <w:sectPr>
          <w:pgSz w:w="11900" w:h="16830"/>
          <w:pgMar w:top="1430" w:right="1073" w:bottom="0" w:left="1599" w:header="0" w:footer="0" w:gutter="0"/>
        </w:sectPr>
        <w:rPr/>
      </w:pPr>
    </w:p>
    <w:p>
      <w:pPr>
        <w:spacing w:line="266" w:lineRule="auto"/>
        <w:rPr>
          <w:rFonts w:ascii="Arial"/>
          <w:sz w:val="21"/>
        </w:rPr>
      </w:pPr>
      <w:r>
        <w:pict>
          <v:rect id="_x0000_s1" style="position:absolute;margin-left:146.001pt;margin-top:662pt;mso-position-vertical-relative:page;mso-position-horizontal-relative:page;width:210pt;height:0.5pt;z-index:251666432;" o:allowincell="f" fillcolor="#000000" filled="true" stroked="false"/>
        </w:pict>
      </w:r>
      <w:r>
        <w:drawing>
          <wp:anchor distT="0" distB="0" distL="0" distR="0" simplePos="0" relativeHeight="251667456" behindDoc="0" locked="0" layoutInCell="0" allowOverlap="1">
            <wp:simplePos x="0" y="0"/>
            <wp:positionH relativeFrom="page">
              <wp:posOffset>1860560</wp:posOffset>
            </wp:positionH>
            <wp:positionV relativeFrom="page">
              <wp:posOffset>7143759</wp:posOffset>
            </wp:positionV>
            <wp:extent cx="6350" cy="1282659"/>
            <wp:effectExtent l="0" t="0" r="0" b="0"/>
            <wp:wrapNone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1282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1552" behindDoc="0" locked="0" layoutInCell="0" allowOverlap="1">
            <wp:simplePos x="0" y="0"/>
            <wp:positionH relativeFrom="page">
              <wp:posOffset>2178084</wp:posOffset>
            </wp:positionH>
            <wp:positionV relativeFrom="page">
              <wp:posOffset>7137453</wp:posOffset>
            </wp:positionV>
            <wp:extent cx="6350" cy="1041346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1041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1" locked="0" layoutInCell="0" allowOverlap="1">
            <wp:simplePos x="0" y="0"/>
            <wp:positionH relativeFrom="page">
              <wp:posOffset>2755931</wp:posOffset>
            </wp:positionH>
            <wp:positionV relativeFrom="page">
              <wp:posOffset>7905722</wp:posOffset>
            </wp:positionV>
            <wp:extent cx="1758926" cy="6350"/>
            <wp:effectExtent l="0" t="0" r="0" b="0"/>
            <wp:wrapNone/>
            <wp:docPr id="5" name="IM 5"/>
            <wp:cNvGraphicFramePr/>
            <a:graphic>
              <a:graphicData uri="http://schemas.openxmlformats.org/drawingml/2006/picture">
                <pic:pic>
                  <pic:nvPicPr>
                    <pic:cNvPr id="5" name="IM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58926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8480" behindDoc="0" locked="0" layoutInCell="0" allowOverlap="1">
            <wp:simplePos x="0" y="0"/>
            <wp:positionH relativeFrom="page">
              <wp:posOffset>2774971</wp:posOffset>
            </wp:positionH>
            <wp:positionV relativeFrom="page">
              <wp:posOffset>7143759</wp:posOffset>
            </wp:positionV>
            <wp:extent cx="6350" cy="787421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787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3289269</wp:posOffset>
            </wp:positionH>
            <wp:positionV relativeFrom="page">
              <wp:posOffset>7150064</wp:posOffset>
            </wp:positionV>
            <wp:extent cx="1225589" cy="533391"/>
            <wp:effectExtent l="0" t="0" r="0" b="0"/>
            <wp:wrapNone/>
            <wp:docPr id="7" name="IM 7"/>
            <wp:cNvGraphicFramePr/>
            <a:graphic>
              <a:graphicData uri="http://schemas.openxmlformats.org/drawingml/2006/picture">
                <pic:pic>
                  <pic:nvPicPr>
                    <pic:cNvPr id="7" name="IM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25589" cy="533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ind w:left="3994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10"/>
        </w:rPr>
        <w:t>第五节</w:t>
      </w:r>
      <w:r>
        <w:rPr>
          <w:rFonts w:ascii="FangSong" w:hAnsi="FangSong" w:eastAsia="FangSong" w:cs="FangSong"/>
          <w:sz w:val="31"/>
          <w:szCs w:val="31"/>
          <w:spacing w:val="118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-10"/>
        </w:rPr>
        <w:t>批准</w:t>
      </w:r>
    </w:p>
    <w:p>
      <w:pPr>
        <w:ind w:left="599"/>
        <w:spacing w:before="179" w:line="58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  <w:position w:val="20"/>
        </w:rPr>
        <w:t>第二十七条</w:t>
      </w:r>
      <w:r>
        <w:rPr>
          <w:rFonts w:ascii="FangSong" w:hAnsi="FangSong" w:eastAsia="FangSong" w:cs="FangSong"/>
          <w:sz w:val="31"/>
          <w:szCs w:val="31"/>
          <w:spacing w:val="128"/>
          <w:position w:val="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  <w:position w:val="20"/>
        </w:rPr>
        <w:t>领导小组对团体标准申请单位提交</w:t>
      </w:r>
      <w:r>
        <w:rPr>
          <w:rFonts w:ascii="FangSong" w:hAnsi="FangSong" w:eastAsia="FangSong" w:cs="FangSong"/>
          <w:sz w:val="31"/>
          <w:szCs w:val="31"/>
          <w:spacing w:val="-7"/>
          <w:position w:val="20"/>
        </w:rPr>
        <w:t>的团体标准报批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1"/>
        </w:rPr>
        <w:t>材料进行最终审核和决定批准。报批材料应包括：</w:t>
      </w:r>
    </w:p>
    <w:p>
      <w:pPr>
        <w:ind w:left="740"/>
        <w:spacing w:before="19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(一)报批稿；</w:t>
      </w:r>
    </w:p>
    <w:p>
      <w:pPr>
        <w:ind w:left="740"/>
        <w:spacing w:before="18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(二)编制说明；</w:t>
      </w:r>
    </w:p>
    <w:p>
      <w:pPr>
        <w:ind w:left="740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(三)团体标准征求意见汇总处理表；</w:t>
      </w:r>
    </w:p>
    <w:p>
      <w:pPr>
        <w:ind w:left="740"/>
        <w:spacing w:before="18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(四)团体标准技术审查表；</w:t>
      </w:r>
    </w:p>
    <w:p>
      <w:pPr>
        <w:ind w:left="740"/>
        <w:spacing w:before="18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(五)团体标准审查意见汇总处理表；</w:t>
      </w:r>
    </w:p>
    <w:p>
      <w:pPr>
        <w:ind w:left="740"/>
        <w:spacing w:before="184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(六)其他支撑性文件。</w:t>
      </w:r>
    </w:p>
    <w:p>
      <w:pPr>
        <w:ind w:left="599"/>
        <w:spacing w:before="202" w:line="55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  <w:position w:val="18"/>
        </w:rPr>
        <w:t>第二十八条</w:t>
      </w:r>
      <w:r>
        <w:rPr>
          <w:rFonts w:ascii="FangSong" w:hAnsi="FangSong" w:eastAsia="FangSong" w:cs="FangSong"/>
          <w:sz w:val="31"/>
          <w:szCs w:val="31"/>
          <w:spacing w:val="129"/>
          <w:position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  <w:position w:val="18"/>
        </w:rPr>
        <w:t>获得批准的团体标准，由团标办公室组织校准、编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2"/>
        </w:rPr>
        <w:t>号和发布等工作。</w:t>
      </w:r>
    </w:p>
    <w:p>
      <w:pPr>
        <w:ind w:left="599"/>
        <w:spacing w:before="191" w:line="561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  <w:position w:val="18"/>
        </w:rPr>
        <w:t>第二十九条</w:t>
      </w:r>
      <w:r>
        <w:rPr>
          <w:rFonts w:ascii="FangSong" w:hAnsi="FangSong" w:eastAsia="FangSong" w:cs="FangSong"/>
          <w:sz w:val="31"/>
          <w:szCs w:val="31"/>
          <w:spacing w:val="128"/>
          <w:position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  <w:position w:val="18"/>
        </w:rPr>
        <w:t>未获批准的团体标准，根据批示意见返回相应工作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1"/>
        </w:rPr>
        <w:t>阶段，从相应阶段开始按顺序重新执行本程序。</w:t>
      </w:r>
    </w:p>
    <w:p>
      <w:pPr>
        <w:ind w:left="3524"/>
        <w:spacing w:before="194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12"/>
        </w:rPr>
        <w:t>第六节</w:t>
      </w:r>
      <w:r>
        <w:rPr>
          <w:rFonts w:ascii="FangSong" w:hAnsi="FangSong" w:eastAsia="FangSong" w:cs="FangSong"/>
          <w:sz w:val="31"/>
          <w:szCs w:val="31"/>
          <w:spacing w:val="118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-12"/>
        </w:rPr>
        <w:t>编号及发布</w:t>
      </w:r>
    </w:p>
    <w:p>
      <w:pPr>
        <w:ind w:left="599"/>
        <w:spacing w:before="188" w:line="56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5"/>
          <w:position w:val="18"/>
        </w:rPr>
        <w:t>第三十条</w:t>
      </w:r>
      <w:r>
        <w:rPr>
          <w:rFonts w:ascii="FangSong" w:hAnsi="FangSong" w:eastAsia="FangSong" w:cs="FangSong"/>
          <w:sz w:val="31"/>
          <w:szCs w:val="31"/>
          <w:spacing w:val="1"/>
          <w:position w:val="18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5"/>
          <w:position w:val="18"/>
        </w:rPr>
        <w:t>团体标准编号由团体标准代号(T/)、</w:t>
      </w:r>
      <w:r>
        <w:rPr>
          <w:rFonts w:ascii="FangSong" w:hAnsi="FangSong" w:eastAsia="FangSong" w:cs="FangSong"/>
          <w:sz w:val="31"/>
          <w:szCs w:val="31"/>
          <w:spacing w:val="-76"/>
          <w:position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5"/>
          <w:position w:val="18"/>
        </w:rPr>
        <w:t>团体代号</w:t>
      </w:r>
      <w:r>
        <w:rPr>
          <w:rFonts w:ascii="FangSong" w:hAnsi="FangSong" w:eastAsia="FangSong" w:cs="FangSong"/>
          <w:sz w:val="31"/>
          <w:szCs w:val="31"/>
          <w:spacing w:val="-16"/>
          <w:position w:val="18"/>
        </w:rPr>
        <w:t>(</w:t>
      </w:r>
      <w:r>
        <w:rPr>
          <w:rFonts w:ascii="FangSong" w:hAnsi="FangSong" w:eastAsia="FangSong" w:cs="FangSong"/>
          <w:sz w:val="31"/>
          <w:szCs w:val="31"/>
          <w:spacing w:val="-15"/>
          <w:position w:val="18"/>
        </w:rPr>
        <w:t>XYZX</w:t>
      </w:r>
      <w:r>
        <w:rPr>
          <w:rFonts w:ascii="FangSong" w:hAnsi="FangSong" w:eastAsia="FangSong" w:cs="FangSong"/>
          <w:sz w:val="31"/>
          <w:szCs w:val="31"/>
          <w:spacing w:val="-16"/>
          <w:position w:val="18"/>
        </w:rPr>
        <w:t>)、</w:t>
      </w:r>
    </w:p>
    <w:p>
      <w:pPr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1"/>
        </w:rPr>
        <w:t>团体标准顺序号和年代号组成。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ind w:left="1260"/>
        <w:spacing w:before="66" w:line="183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T/XYZX</w:t>
      </w:r>
      <w:r>
        <w:rPr>
          <w:rFonts w:ascii="Times New Roman" w:hAnsi="Times New Roman" w:eastAsia="Times New Roman" w:cs="Times New Roman"/>
          <w:sz w:val="20"/>
          <w:szCs w:val="20"/>
          <w:spacing w:val="5"/>
        </w:rPr>
        <w:t xml:space="preserve">         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XXXX</w:t>
      </w:r>
      <w:r>
        <w:rPr>
          <w:rFonts w:ascii="SimSun" w:hAnsi="SimSun" w:eastAsia="SimSun" w:cs="SimSun"/>
          <w:sz w:val="20"/>
          <w:szCs w:val="20"/>
          <w:color w:val="512A37"/>
          <w:spacing w:val="-2"/>
        </w:rPr>
        <w:t>—</w:t>
      </w:r>
      <w:r>
        <w:rPr>
          <w:rFonts w:ascii="SimSun" w:hAnsi="SimSun" w:eastAsia="SimSun" w:cs="SimSun"/>
          <w:sz w:val="20"/>
          <w:szCs w:val="20"/>
          <w:color w:val="512A37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XXXX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ind w:left="5590"/>
        <w:spacing w:before="101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22"/>
        </w:rPr>
        <w:t>年代</w:t>
      </w:r>
    </w:p>
    <w:p>
      <w:pPr>
        <w:ind w:left="5140" w:right="1737" w:hanging="190"/>
        <w:spacing w:before="32" w:line="228" w:lineRule="auto"/>
        <w:rPr>
          <w:rFonts w:ascii="SimSun" w:hAnsi="SimSun" w:eastAsia="SimSun" w:cs="SimSun"/>
          <w:sz w:val="31"/>
          <w:szCs w:val="31"/>
        </w:rPr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1155691</wp:posOffset>
            </wp:positionH>
            <wp:positionV relativeFrom="paragraph">
              <wp:posOffset>310283</wp:posOffset>
            </wp:positionV>
            <wp:extent cx="2349542" cy="6350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49542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" style="position:absolute;margin-left:197.504pt;margin-top:27.8073pt;mso-position-vertical-relative:text;mso-position-horizontal-relative:text;width:32.55pt;height:12.55pt;z-index:2516695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10" w:lineRule="exact"/>
                    <w:rPr>
                      <w:rFonts w:ascii="SimSun" w:hAnsi="SimSun" w:eastAsia="SimSun" w:cs="SimSun"/>
                      <w:sz w:val="31"/>
                      <w:szCs w:val="31"/>
                    </w:rPr>
                  </w:pPr>
                  <w:r>
                    <w:rPr>
                      <w:rFonts w:ascii="SimSun" w:hAnsi="SimSun" w:eastAsia="SimSun" w:cs="SimSun"/>
                      <w:sz w:val="31"/>
                      <w:szCs w:val="31"/>
                      <w:spacing w:val="-3"/>
                      <w:position w:val="-5"/>
                    </w:rPr>
                    <w:t>——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31"/>
          <w:szCs w:val="31"/>
          <w:spacing w:val="-27"/>
          <w:w w:val="96"/>
        </w:rPr>
        <w:t>——</w:t>
      </w:r>
      <w:r>
        <w:rPr>
          <w:rFonts w:ascii="SimSun" w:hAnsi="SimSun" w:eastAsia="SimSun" w:cs="SimSun"/>
          <w:sz w:val="31"/>
          <w:szCs w:val="31"/>
          <w:spacing w:val="-105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-27"/>
          <w:w w:val="96"/>
        </w:rPr>
        <w:t>团体标准顺序号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-18"/>
        </w:rPr>
        <w:t>—社会团体代号</w:t>
      </w:r>
    </w:p>
    <w:p>
      <w:pPr>
        <w:ind w:left="5560"/>
        <w:spacing w:before="35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31"/>
          <w:w w:val="98"/>
        </w:rPr>
        <w:t>团体标准代号</w:t>
      </w:r>
    </w:p>
    <w:p>
      <w:pPr>
        <w:sectPr>
          <w:headerReference w:type="default" r:id="rId3"/>
          <w:pgSz w:w="11900" w:h="16830"/>
          <w:pgMar w:top="400" w:right="1125" w:bottom="0" w:left="1599" w:header="0" w:footer="0" w:gutter="0"/>
        </w:sectPr>
        <w:rPr/>
      </w:pP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ind w:right="151" w:firstLine="629"/>
        <w:spacing w:before="98" w:line="34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"/>
        </w:rPr>
        <w:t>第三十一条</w:t>
      </w:r>
      <w:r>
        <w:rPr>
          <w:rFonts w:ascii="FangSong" w:hAnsi="FangSong" w:eastAsia="FangSong" w:cs="FangSong"/>
          <w:sz w:val="30"/>
          <w:szCs w:val="30"/>
          <w:spacing w:val="16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对于全面修订的协会团体标准，发布顺序号不变并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按重新批准发布的年份确定发布年号；对局部修订的协会团体标准</w:t>
      </w:r>
      <w:r>
        <w:rPr>
          <w:rFonts w:ascii="FangSong" w:hAnsi="FangSong" w:eastAsia="FangSong" w:cs="FangSong"/>
          <w:sz w:val="30"/>
          <w:szCs w:val="30"/>
          <w:spacing w:val="-1"/>
        </w:rPr>
        <w:t>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其编号不变，但应按重新批准发布的年份在封面和扉页中标准名称</w:t>
      </w:r>
      <w:r>
        <w:rPr>
          <w:rFonts w:ascii="FangSong" w:hAnsi="FangSong" w:eastAsia="FangSong" w:cs="FangSong"/>
          <w:sz w:val="30"/>
          <w:szCs w:val="30"/>
        </w:rPr>
        <w:t>的</w:t>
      </w:r>
    </w:p>
    <w:p>
      <w:pPr>
        <w:spacing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"/>
        </w:rPr>
        <w:t>下方增加“</w:t>
      </w:r>
      <w:r>
        <w:rPr>
          <w:rFonts w:ascii="FangSong" w:hAnsi="FangSong" w:eastAsia="FangSong" w:cs="FangSong"/>
          <w:sz w:val="30"/>
          <w:szCs w:val="30"/>
          <w:spacing w:val="-1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(</w:t>
      </w:r>
      <w:r>
        <w:rPr>
          <w:rFonts w:ascii="FangSong" w:hAnsi="FangSong" w:eastAsia="FangSong" w:cs="FangSong"/>
          <w:sz w:val="30"/>
          <w:szCs w:val="30"/>
        </w:rPr>
        <w:t>XXXX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年版)”字样。</w:t>
      </w:r>
    </w:p>
    <w:p>
      <w:pPr>
        <w:ind w:left="629"/>
        <w:spacing w:before="205" w:line="564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5"/>
          <w:position w:val="19"/>
        </w:rPr>
        <w:t>第三十二条</w:t>
      </w:r>
      <w:r>
        <w:rPr>
          <w:rFonts w:ascii="FangSong" w:hAnsi="FangSong" w:eastAsia="FangSong" w:cs="FangSong"/>
          <w:sz w:val="30"/>
          <w:szCs w:val="30"/>
          <w:spacing w:val="13"/>
          <w:position w:val="19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5"/>
          <w:position w:val="19"/>
        </w:rPr>
        <w:t>系列标准的每一项标准编号按照单项标准进行</w:t>
      </w:r>
      <w:r>
        <w:rPr>
          <w:rFonts w:ascii="FangSong" w:hAnsi="FangSong" w:eastAsia="FangSong" w:cs="FangSong"/>
          <w:sz w:val="30"/>
          <w:szCs w:val="30"/>
          <w:spacing w:val="14"/>
          <w:position w:val="19"/>
        </w:rPr>
        <w:t>编</w:t>
      </w:r>
    </w:p>
    <w:p>
      <w:pPr>
        <w:spacing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0"/>
        </w:rPr>
        <w:t>号，如</w:t>
      </w:r>
      <w:r>
        <w:rPr>
          <w:rFonts w:ascii="FangSong" w:hAnsi="FangSong" w:eastAsia="FangSong" w:cs="FangSong"/>
          <w:sz w:val="30"/>
          <w:szCs w:val="30"/>
          <w:spacing w:val="-3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0"/>
        </w:rPr>
        <w:t>“T/XYZX</w:t>
      </w:r>
      <w:r>
        <w:rPr>
          <w:rFonts w:ascii="FangSong" w:hAnsi="FangSong" w:eastAsia="FangSong" w:cs="FangSong"/>
          <w:sz w:val="30"/>
          <w:szCs w:val="30"/>
          <w:spacing w:val="7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0"/>
        </w:rPr>
        <w:t>XXXX—XXXX”。</w:t>
      </w:r>
    </w:p>
    <w:p>
      <w:pPr>
        <w:ind w:left="629"/>
        <w:spacing w:before="196" w:line="557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"/>
          <w:position w:val="18"/>
        </w:rPr>
        <w:t>第三十三条</w:t>
      </w:r>
      <w:r>
        <w:rPr>
          <w:rFonts w:ascii="FangSong" w:hAnsi="FangSong" w:eastAsia="FangSong" w:cs="FangSong"/>
          <w:sz w:val="30"/>
          <w:szCs w:val="30"/>
          <w:spacing w:val="8"/>
          <w:position w:val="18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3"/>
          <w:position w:val="18"/>
        </w:rPr>
        <w:t>团体标准的版权归协会所有，由协</w:t>
      </w:r>
      <w:r>
        <w:rPr>
          <w:rFonts w:ascii="FangSong" w:hAnsi="FangSong" w:eastAsia="FangSong" w:cs="FangSong"/>
          <w:sz w:val="30"/>
          <w:szCs w:val="30"/>
          <w:spacing w:val="2"/>
          <w:position w:val="18"/>
        </w:rPr>
        <w:t>会统一负责团体</w:t>
      </w:r>
    </w:p>
    <w:p>
      <w:pPr>
        <w:spacing w:before="2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标准的出版和发行等事宜。</w:t>
      </w:r>
    </w:p>
    <w:p>
      <w:pPr>
        <w:ind w:left="629"/>
        <w:spacing w:before="200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第三十四条</w:t>
      </w:r>
      <w:r>
        <w:rPr>
          <w:rFonts w:ascii="FangSong" w:hAnsi="FangSong" w:eastAsia="FangSong" w:cs="FangSong"/>
          <w:sz w:val="30"/>
          <w:szCs w:val="30"/>
          <w:spacing w:val="16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团体标准获得批准后面向社会发布。</w:t>
      </w:r>
    </w:p>
    <w:p>
      <w:pPr>
        <w:ind w:left="4004"/>
        <w:spacing w:before="229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0"/>
        </w:rPr>
        <w:t>第七节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 </w:t>
      </w:r>
      <w:r>
        <w:rPr>
          <w:rFonts w:ascii="FangSong" w:hAnsi="FangSong" w:eastAsia="FangSong" w:cs="FangSong"/>
          <w:sz w:val="30"/>
          <w:szCs w:val="30"/>
          <w:b/>
          <w:bCs/>
          <w:spacing w:val="-10"/>
        </w:rPr>
        <w:t>复审</w:t>
      </w:r>
    </w:p>
    <w:p>
      <w:pPr>
        <w:ind w:left="629"/>
        <w:spacing w:before="213" w:line="559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"/>
          <w:position w:val="19"/>
        </w:rPr>
        <w:t>第三十五条</w:t>
      </w:r>
      <w:r>
        <w:rPr>
          <w:rFonts w:ascii="FangSong" w:hAnsi="FangSong" w:eastAsia="FangSong" w:cs="FangSong"/>
          <w:sz w:val="30"/>
          <w:szCs w:val="30"/>
          <w:spacing w:val="3"/>
          <w:position w:val="19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"/>
          <w:position w:val="19"/>
        </w:rPr>
        <w:t>团标办公室应根据行业发展实际和标</w:t>
      </w:r>
      <w:r>
        <w:rPr>
          <w:rFonts w:ascii="FangSong" w:hAnsi="FangSong" w:eastAsia="FangSong" w:cs="FangSong"/>
          <w:sz w:val="30"/>
          <w:szCs w:val="30"/>
          <w:position w:val="19"/>
        </w:rPr>
        <w:t>准实施情况，</w:t>
      </w:r>
    </w:p>
    <w:p>
      <w:pPr>
        <w:spacing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"/>
        </w:rPr>
        <w:t>对已经公开发布的团体标准适时组织复审，复审周期一般不超过3年。</w:t>
      </w:r>
    </w:p>
    <w:p>
      <w:pPr>
        <w:ind w:right="95" w:firstLine="629"/>
        <w:spacing w:before="203" w:line="34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"/>
        </w:rPr>
        <w:t>第三十六条</w:t>
      </w:r>
      <w:r>
        <w:rPr>
          <w:rFonts w:ascii="FangSong" w:hAnsi="FangSong" w:eastAsia="FangSong" w:cs="FangSong"/>
          <w:sz w:val="30"/>
          <w:szCs w:val="30"/>
          <w:spacing w:val="15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复审需对团体标准的实施情况和适应性等方面进行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评估，得出继续有效、修订或废止的结论，形成团体标准复审意见表</w:t>
      </w:r>
    </w:p>
    <w:p>
      <w:pPr>
        <w:ind w:left="160"/>
        <w:spacing w:before="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9"/>
        </w:rPr>
        <w:t>(见附8)。团体标准按照复审结论进行处理：</w:t>
      </w:r>
    </w:p>
    <w:p>
      <w:pPr>
        <w:ind w:left="750"/>
        <w:spacing w:before="193" w:line="556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  <w:position w:val="18"/>
        </w:rPr>
        <w:t>(一)确认继续有效的团体标准不改团体标准顺序号和年代号，</w:t>
      </w:r>
    </w:p>
    <w:p>
      <w:pPr>
        <w:spacing w:before="1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在标准封面的团体标准编号下写明</w:t>
      </w:r>
      <w:r>
        <w:rPr>
          <w:rFonts w:ascii="FangSong" w:hAnsi="FangSong" w:eastAsia="FangSong" w:cs="FangSong"/>
          <w:sz w:val="30"/>
          <w:szCs w:val="30"/>
          <w:spacing w:val="-7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5"/>
        </w:rPr>
        <w:t>“XXXX</w:t>
      </w:r>
      <w:r>
        <w:rPr>
          <w:rFonts w:ascii="FangSong" w:hAnsi="FangSong" w:eastAsia="FangSong" w:cs="FangSong"/>
          <w:sz w:val="30"/>
          <w:szCs w:val="30"/>
          <w:spacing w:val="4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5"/>
        </w:rPr>
        <w:t>年确认有效”字样；</w:t>
      </w:r>
    </w:p>
    <w:p>
      <w:pPr>
        <w:ind w:left="750"/>
        <w:spacing w:before="205" w:line="559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  <w:position w:val="19"/>
        </w:rPr>
        <w:t>(二)确认修订的团体标准按照团体标准制修订程序进行修订，</w:t>
      </w:r>
    </w:p>
    <w:p>
      <w:pPr>
        <w:spacing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修订后的团体标准顺序号不变，年代号改为新发布年代号；</w:t>
      </w:r>
    </w:p>
    <w:p>
      <w:pPr>
        <w:ind w:left="750"/>
        <w:spacing w:before="207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8"/>
        </w:rPr>
        <w:t>(三)确认废止的团体标准予以废止。</w:t>
      </w:r>
    </w:p>
    <w:p>
      <w:pPr>
        <w:ind w:left="2944"/>
        <w:spacing w:before="212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4"/>
        </w:rPr>
        <w:t>第八节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 </w:t>
      </w:r>
      <w:r>
        <w:rPr>
          <w:rFonts w:ascii="FangSong" w:hAnsi="FangSong" w:eastAsia="FangSong" w:cs="FangSong"/>
          <w:sz w:val="30"/>
          <w:szCs w:val="30"/>
          <w:b/>
          <w:bCs/>
          <w:spacing w:val="-4"/>
        </w:rPr>
        <w:t>团体标准项目的调整</w:t>
      </w:r>
    </w:p>
    <w:p>
      <w:pPr>
        <w:ind w:left="629"/>
        <w:spacing w:before="204" w:line="578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"/>
          <w:position w:val="20"/>
        </w:rPr>
        <w:t>第三十七条</w:t>
      </w:r>
      <w:r>
        <w:rPr>
          <w:rFonts w:ascii="FangSong" w:hAnsi="FangSong" w:eastAsia="FangSong" w:cs="FangSong"/>
          <w:sz w:val="30"/>
          <w:szCs w:val="30"/>
          <w:spacing w:val="17"/>
          <w:position w:val="20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2"/>
          <w:position w:val="20"/>
        </w:rPr>
        <w:t>团体标准制定过程中出现外部环境、规范对象、工</w:t>
      </w:r>
    </w:p>
    <w:p>
      <w:pPr>
        <w:spacing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作组构成等变化时，可由团体标准申请单位填写团体标准项目调整(撤</w:t>
      </w:r>
    </w:p>
    <w:p>
      <w:pPr>
        <w:sectPr>
          <w:headerReference w:type="default" r:id="rId10"/>
          <w:pgSz w:w="11900" w:h="16830"/>
          <w:pgMar w:top="400" w:right="1090" w:bottom="0" w:left="1589" w:header="0" w:footer="0" w:gutter="0"/>
        </w:sectPr>
        <w:rPr/>
      </w:pP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ind w:left="39"/>
        <w:spacing w:before="97" w:line="574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3"/>
          <w:position w:val="20"/>
        </w:rPr>
        <w:t>销)申请表(见附9)并报领导小组同意后，对该团体标准项目进行调</w:t>
      </w:r>
    </w:p>
    <w:p>
      <w:pPr>
        <w:ind w:left="39"/>
        <w:spacing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整或撤销。</w:t>
      </w:r>
    </w:p>
    <w:p>
      <w:pPr>
        <w:ind w:left="669"/>
        <w:spacing w:before="195" w:line="563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"/>
          <w:position w:val="19"/>
        </w:rPr>
        <w:t>第三十八条</w:t>
      </w:r>
      <w:r>
        <w:rPr>
          <w:rFonts w:ascii="FangSong" w:hAnsi="FangSong" w:eastAsia="FangSong" w:cs="FangSong"/>
          <w:sz w:val="30"/>
          <w:szCs w:val="30"/>
          <w:spacing w:val="8"/>
          <w:position w:val="19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"/>
          <w:position w:val="19"/>
        </w:rPr>
        <w:t>出现以下情况的，经与团体标准申请</w:t>
      </w:r>
      <w:r>
        <w:rPr>
          <w:rFonts w:ascii="FangSong" w:hAnsi="FangSong" w:eastAsia="FangSong" w:cs="FangSong"/>
          <w:sz w:val="30"/>
          <w:szCs w:val="30"/>
          <w:position w:val="19"/>
        </w:rPr>
        <w:t>单位协商后，</w:t>
      </w:r>
    </w:p>
    <w:p>
      <w:pPr>
        <w:ind w:left="39"/>
        <w:spacing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可撤销团体标准项目：</w:t>
      </w:r>
    </w:p>
    <w:p>
      <w:pPr>
        <w:ind w:left="799"/>
        <w:spacing w:before="209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6"/>
        </w:rPr>
        <w:t>(一)团体标准内容与有关法律法规和政策产生冲突；</w:t>
      </w:r>
    </w:p>
    <w:p>
      <w:pPr>
        <w:ind w:left="799"/>
        <w:spacing w:before="197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6"/>
        </w:rPr>
        <w:t>(二)团体标准规范的对象发生重大变化，不应再制定</w:t>
      </w:r>
      <w:r>
        <w:rPr>
          <w:rFonts w:ascii="FangSong" w:hAnsi="FangSong" w:eastAsia="FangSong" w:cs="FangSong"/>
          <w:sz w:val="30"/>
          <w:szCs w:val="30"/>
          <w:spacing w:val="5"/>
        </w:rPr>
        <w:t>；</w:t>
      </w:r>
    </w:p>
    <w:p>
      <w:pPr>
        <w:ind w:left="799"/>
        <w:spacing w:before="198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9"/>
        </w:rPr>
        <w:t>(三)相应的国家标准或行业标准发布实施，能够涵盖该团体标</w:t>
      </w:r>
    </w:p>
    <w:p>
      <w:pPr>
        <w:ind w:left="39"/>
        <w:spacing w:before="206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0"/>
        </w:rPr>
        <w:t>准内容；</w:t>
      </w:r>
    </w:p>
    <w:p>
      <w:pPr>
        <w:ind w:left="799"/>
        <w:spacing w:before="197" w:line="558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0"/>
          <w:position w:val="19"/>
        </w:rPr>
        <w:t>(四)团体标准起草组发生重大变化，无法正常开展团体</w:t>
      </w:r>
      <w:r>
        <w:rPr>
          <w:rFonts w:ascii="FangSong" w:hAnsi="FangSong" w:eastAsia="FangSong" w:cs="FangSong"/>
          <w:sz w:val="30"/>
          <w:szCs w:val="30"/>
          <w:spacing w:val="9"/>
          <w:position w:val="19"/>
        </w:rPr>
        <w:t>标准制</w:t>
      </w:r>
    </w:p>
    <w:p>
      <w:pPr>
        <w:ind w:left="39"/>
        <w:spacing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0"/>
        </w:rPr>
        <w:t>定工作；</w:t>
      </w:r>
    </w:p>
    <w:p>
      <w:pPr>
        <w:ind w:left="799"/>
        <w:spacing w:before="204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6"/>
        </w:rPr>
        <w:t>(五)团体标准自立项之日起两年内未完成制定；</w:t>
      </w:r>
    </w:p>
    <w:p>
      <w:pPr>
        <w:ind w:left="799"/>
        <w:spacing w:before="200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9"/>
        </w:rPr>
        <w:t>(六)其他确属应予撤销的情况。</w:t>
      </w:r>
    </w:p>
    <w:p>
      <w:pPr>
        <w:ind w:left="3454"/>
        <w:spacing w:before="207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6"/>
        </w:rPr>
        <w:t>第四章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 </w:t>
      </w:r>
      <w:r>
        <w:rPr>
          <w:rFonts w:ascii="FangSong" w:hAnsi="FangSong" w:eastAsia="FangSong" w:cs="FangSong"/>
          <w:sz w:val="30"/>
          <w:szCs w:val="30"/>
          <w:b/>
          <w:bCs/>
          <w:spacing w:val="-6"/>
        </w:rPr>
        <w:t>知识产权管理</w:t>
      </w:r>
    </w:p>
    <w:p>
      <w:pPr>
        <w:ind w:left="39" w:right="95" w:firstLine="629"/>
        <w:spacing w:before="202" w:line="345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第三十九条</w:t>
      </w:r>
      <w:r>
        <w:rPr>
          <w:rFonts w:ascii="FangSong" w:hAnsi="FangSong" w:eastAsia="FangSong" w:cs="FangSong"/>
          <w:sz w:val="30"/>
          <w:szCs w:val="30"/>
          <w:spacing w:val="13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版权。襄阳市建设工程咨询服务行</w:t>
      </w:r>
      <w:r>
        <w:rPr>
          <w:rFonts w:ascii="FangSong" w:hAnsi="FangSong" w:eastAsia="FangSong" w:cs="FangSong"/>
          <w:sz w:val="30"/>
          <w:szCs w:val="30"/>
          <w:spacing w:val="3"/>
        </w:rPr>
        <w:t>业协会团体标准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版权属襄阳市建设工程咨询服务行业协会所有。未经襄阳市建设工程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咨询服务行业协会同意，任何组织或个人不得印刷、销售和进行网络</w:t>
      </w:r>
    </w:p>
    <w:p>
      <w:pPr>
        <w:ind w:left="39"/>
        <w:spacing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传播。</w:t>
      </w:r>
    </w:p>
    <w:p>
      <w:pPr>
        <w:ind w:right="88" w:firstLine="669"/>
        <w:spacing w:before="194" w:line="345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第四十条</w:t>
      </w:r>
      <w:r>
        <w:rPr>
          <w:rFonts w:ascii="FangSong" w:hAnsi="FangSong" w:eastAsia="FangSong" w:cs="FangSong"/>
          <w:sz w:val="30"/>
          <w:szCs w:val="30"/>
          <w:spacing w:val="14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标识。襄阳市建设工程咨询服务行业协会团体标准的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9"/>
        </w:rPr>
        <w:t>标识为“襄阳市建设工程咨询服务行业协会团体标准”,英文标识为</w:t>
      </w:r>
      <w:r>
        <w:rPr>
          <w:rFonts w:ascii="FangSong" w:hAnsi="FangSong" w:eastAsia="FangSong" w:cs="FangSong"/>
          <w:sz w:val="30"/>
          <w:szCs w:val="30"/>
          <w:spacing w:val="1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"/>
        </w:rPr>
        <w:t>“XYZX”。</w:t>
      </w:r>
      <w:r>
        <w:rPr>
          <w:rFonts w:ascii="FangSong" w:hAnsi="FangSong" w:eastAsia="FangSong" w:cs="FangSong"/>
          <w:sz w:val="30"/>
          <w:szCs w:val="30"/>
          <w:spacing w:val="8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"/>
        </w:rPr>
        <w:t>各机构和部门只有在获得襄阳市建设</w:t>
      </w:r>
      <w:r>
        <w:rPr>
          <w:rFonts w:ascii="FangSong" w:hAnsi="FangSong" w:eastAsia="FangSong" w:cs="FangSong"/>
          <w:sz w:val="30"/>
          <w:szCs w:val="30"/>
          <w:spacing w:val="-3"/>
        </w:rPr>
        <w:t>工程咨询服务行业协</w:t>
      </w:r>
    </w:p>
    <w:p>
      <w:pPr>
        <w:ind w:left="39"/>
        <w:spacing w:before="1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会授权后才能使用此标识。</w:t>
      </w:r>
    </w:p>
    <w:p>
      <w:pPr>
        <w:ind w:left="39" w:right="99" w:firstLine="629"/>
        <w:spacing w:before="195" w:line="345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"/>
        </w:rPr>
        <w:t>第四十一条</w:t>
      </w:r>
      <w:r>
        <w:rPr>
          <w:rFonts w:ascii="FangSong" w:hAnsi="FangSong" w:eastAsia="FangSong" w:cs="FangSong"/>
          <w:sz w:val="30"/>
          <w:szCs w:val="30"/>
          <w:spacing w:val="14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使用。任何组织或个人在使用襄阳市建设工程咨询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服务行业协会团体标准时，应取得襄阳市建设工程咨询服务行业</w:t>
      </w:r>
      <w:r>
        <w:rPr>
          <w:rFonts w:ascii="FangSong" w:hAnsi="FangSong" w:eastAsia="FangSong" w:cs="FangSong"/>
          <w:sz w:val="30"/>
          <w:szCs w:val="30"/>
          <w:spacing w:val="3"/>
        </w:rPr>
        <w:t>协会</w:t>
      </w:r>
    </w:p>
    <w:p>
      <w:pPr>
        <w:ind w:left="39"/>
        <w:spacing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书面同意。在以襄阳市建设工程咨询服务行业协会团体标准开展培训、</w:t>
      </w:r>
    </w:p>
    <w:p>
      <w:pPr>
        <w:sectPr>
          <w:pgSz w:w="11900" w:h="16830"/>
          <w:pgMar w:top="400" w:right="1111" w:bottom="0" w:left="1530" w:header="0" w:footer="0" w:gutter="0"/>
        </w:sectPr>
        <w:rPr/>
      </w:pP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before="94" w:line="562" w:lineRule="exact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3"/>
          <w:position w:val="20"/>
        </w:rPr>
        <w:t>认证、测评等活动前，应获得襄阳市建设工程咨询服务行业协会批准</w:t>
      </w:r>
    </w:p>
    <w:p>
      <w:pPr>
        <w:spacing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"/>
        </w:rPr>
        <w:t>授权。</w:t>
      </w:r>
    </w:p>
    <w:p>
      <w:pPr>
        <w:ind w:firstLine="599"/>
        <w:spacing w:before="220" w:line="356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4"/>
        </w:rPr>
        <w:t>第四十二条</w:t>
      </w:r>
      <w:r>
        <w:rPr>
          <w:rFonts w:ascii="FangSong" w:hAnsi="FangSong" w:eastAsia="FangSong" w:cs="FangSong"/>
          <w:sz w:val="29"/>
          <w:szCs w:val="29"/>
          <w:spacing w:val="15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4"/>
        </w:rPr>
        <w:t>涉及专利。襄阳市建设工程咨询服务行业协会团体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标准如涉及专利，项目牵头单位应在立项申请前与专利所有单位协</w:t>
      </w:r>
      <w:r>
        <w:rPr>
          <w:rFonts w:ascii="FangSong" w:hAnsi="FangSong" w:eastAsia="FangSong" w:cs="FangSong"/>
          <w:sz w:val="29"/>
          <w:szCs w:val="29"/>
          <w:spacing w:val="6"/>
        </w:rPr>
        <w:t>商，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4"/>
        </w:rPr>
        <w:t>确定所涉及专利的范围、内容、标准化方法、</w:t>
      </w:r>
      <w:r>
        <w:rPr>
          <w:rFonts w:ascii="FangSong" w:hAnsi="FangSong" w:eastAsia="FangSong" w:cs="FangSong"/>
          <w:sz w:val="29"/>
          <w:szCs w:val="29"/>
          <w:spacing w:val="13"/>
        </w:rPr>
        <w:t>使用要求以及冲突处置</w:t>
      </w:r>
    </w:p>
    <w:p>
      <w:pPr>
        <w:spacing w:before="1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"/>
        </w:rPr>
        <w:t>规则等，应获得专利所有单位的认可和书面承</w:t>
      </w:r>
      <w:r>
        <w:rPr>
          <w:rFonts w:ascii="FangSong" w:hAnsi="FangSong" w:eastAsia="FangSong" w:cs="FangSong"/>
          <w:sz w:val="29"/>
          <w:szCs w:val="29"/>
          <w:spacing w:val="2"/>
        </w:rPr>
        <w:t>诺。</w:t>
      </w:r>
    </w:p>
    <w:p>
      <w:pPr>
        <w:ind w:right="93" w:firstLine="599"/>
        <w:spacing w:before="212" w:line="357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2"/>
        </w:rPr>
        <w:t>第四十三条</w:t>
      </w:r>
      <w:r>
        <w:rPr>
          <w:rFonts w:ascii="FangSong" w:hAnsi="FangSong" w:eastAsia="FangSong" w:cs="FangSong"/>
          <w:sz w:val="29"/>
          <w:szCs w:val="29"/>
          <w:spacing w:val="17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2"/>
        </w:rPr>
        <w:t>共同标准。襄阳市建设工程咨询服务行业协会与其</w:t>
      </w:r>
      <w:r>
        <w:rPr>
          <w:rFonts w:ascii="FangSong" w:hAnsi="FangSong" w:eastAsia="FangSong" w:cs="FangSong"/>
          <w:sz w:val="29"/>
          <w:szCs w:val="29"/>
          <w:spacing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他机构共同制定和发布的标准，版权属发布各方共同所有，共同</w:t>
      </w:r>
      <w:r>
        <w:rPr>
          <w:rFonts w:ascii="FangSong" w:hAnsi="FangSong" w:eastAsia="FangSong" w:cs="FangSong"/>
          <w:sz w:val="29"/>
          <w:szCs w:val="29"/>
          <w:spacing w:val="3"/>
        </w:rPr>
        <w:t>承担在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3"/>
        </w:rPr>
        <w:t>制定和使用标准时所带来的法律责任。各方就标准开展的认证、测评</w:t>
      </w:r>
    </w:p>
    <w:p>
      <w:pPr>
        <w:spacing w:before="1" w:line="22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9"/>
        </w:rPr>
        <w:t>等活动前，应就相关责、权、利协商一致。</w:t>
      </w:r>
    </w:p>
    <w:p>
      <w:pPr>
        <w:ind w:right="102" w:firstLine="599"/>
        <w:spacing w:before="209" w:line="357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4"/>
        </w:rPr>
        <w:t>第四十四条</w:t>
      </w:r>
      <w:r>
        <w:rPr>
          <w:rFonts w:ascii="FangSong" w:hAnsi="FangSong" w:eastAsia="FangSong" w:cs="FangSong"/>
          <w:sz w:val="29"/>
          <w:szCs w:val="29"/>
          <w:spacing w:val="14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4"/>
        </w:rPr>
        <w:t>法律维权。襄阳市建设工程咨询服务行业协会作为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3"/>
        </w:rPr>
        <w:t>所制定团体标准的所有权人，保留对涉及襄阳</w:t>
      </w:r>
      <w:r>
        <w:rPr>
          <w:rFonts w:ascii="FangSong" w:hAnsi="FangSong" w:eastAsia="FangSong" w:cs="FangSong"/>
          <w:sz w:val="29"/>
          <w:szCs w:val="29"/>
          <w:spacing w:val="12"/>
        </w:rPr>
        <w:t>市建设工程咨询服务行</w:t>
      </w:r>
    </w:p>
    <w:p>
      <w:pPr>
        <w:spacing w:before="1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0"/>
        </w:rPr>
        <w:t>业协会团体标准合法权益的所有违法行为追究法律</w:t>
      </w:r>
      <w:r>
        <w:rPr>
          <w:rFonts w:ascii="FangSong" w:hAnsi="FangSong" w:eastAsia="FangSong" w:cs="FangSong"/>
          <w:sz w:val="29"/>
          <w:szCs w:val="29"/>
          <w:spacing w:val="9"/>
        </w:rPr>
        <w:t>责任的权利。</w:t>
      </w:r>
    </w:p>
    <w:p>
      <w:pPr>
        <w:spacing w:line="424" w:lineRule="auto"/>
        <w:rPr>
          <w:rFonts w:ascii="Arial"/>
          <w:sz w:val="21"/>
        </w:rPr>
      </w:pPr>
      <w:r/>
    </w:p>
    <w:p>
      <w:pPr>
        <w:ind w:left="2774"/>
        <w:spacing w:before="96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b/>
          <w:bCs/>
          <w:spacing w:val="6"/>
        </w:rPr>
        <w:t>第五章</w:t>
      </w:r>
      <w:r>
        <w:rPr>
          <w:rFonts w:ascii="FangSong" w:hAnsi="FangSong" w:eastAsia="FangSong" w:cs="FangSong"/>
          <w:sz w:val="29"/>
          <w:szCs w:val="29"/>
          <w:spacing w:val="17"/>
        </w:rPr>
        <w:t xml:space="preserve">  </w:t>
      </w:r>
      <w:r>
        <w:rPr>
          <w:rFonts w:ascii="FangSong" w:hAnsi="FangSong" w:eastAsia="FangSong" w:cs="FangSong"/>
          <w:sz w:val="29"/>
          <w:szCs w:val="29"/>
          <w:b/>
          <w:bCs/>
          <w:spacing w:val="6"/>
        </w:rPr>
        <w:t>团体标准的推广与应用</w:t>
      </w:r>
    </w:p>
    <w:p>
      <w:pPr>
        <w:spacing w:line="418" w:lineRule="auto"/>
        <w:rPr>
          <w:rFonts w:ascii="Arial"/>
          <w:sz w:val="21"/>
        </w:rPr>
      </w:pPr>
      <w:r/>
    </w:p>
    <w:p>
      <w:pPr>
        <w:ind w:left="599"/>
        <w:spacing w:before="94" w:line="556" w:lineRule="exact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3"/>
          <w:position w:val="19"/>
        </w:rPr>
        <w:t>第四十五条</w:t>
      </w:r>
      <w:r>
        <w:rPr>
          <w:rFonts w:ascii="FangSong" w:hAnsi="FangSong" w:eastAsia="FangSong" w:cs="FangSong"/>
          <w:sz w:val="29"/>
          <w:szCs w:val="29"/>
          <w:spacing w:val="19"/>
          <w:position w:val="1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3"/>
          <w:position w:val="19"/>
        </w:rPr>
        <w:t>团体标准的推广与应用由襄阳市建设工程咨询</w:t>
      </w:r>
      <w:r>
        <w:rPr>
          <w:rFonts w:ascii="FangSong" w:hAnsi="FangSong" w:eastAsia="FangSong" w:cs="FangSong"/>
          <w:sz w:val="29"/>
          <w:szCs w:val="29"/>
          <w:spacing w:val="12"/>
          <w:position w:val="19"/>
        </w:rPr>
        <w:t>服务</w:t>
      </w:r>
    </w:p>
    <w:p>
      <w:pPr>
        <w:spacing w:before="1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9"/>
        </w:rPr>
        <w:t>行业协会统一管理，相关单位应配合做好相关</w:t>
      </w:r>
      <w:r>
        <w:rPr>
          <w:rFonts w:ascii="FangSong" w:hAnsi="FangSong" w:eastAsia="FangSong" w:cs="FangSong"/>
          <w:sz w:val="29"/>
          <w:szCs w:val="29"/>
          <w:spacing w:val="8"/>
        </w:rPr>
        <w:t>工作。</w:t>
      </w:r>
    </w:p>
    <w:p>
      <w:pPr>
        <w:ind w:left="599"/>
        <w:spacing w:before="215" w:line="562" w:lineRule="exact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3"/>
          <w:position w:val="20"/>
        </w:rPr>
        <w:t>第四十六条</w:t>
      </w:r>
      <w:r>
        <w:rPr>
          <w:rFonts w:ascii="FangSong" w:hAnsi="FangSong" w:eastAsia="FangSong" w:cs="FangSong"/>
          <w:sz w:val="29"/>
          <w:szCs w:val="29"/>
          <w:spacing w:val="161"/>
          <w:position w:val="2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3"/>
          <w:position w:val="20"/>
        </w:rPr>
        <w:t>襄阳市建设工程咨询服务行业协会通过自律公约的</w:t>
      </w:r>
    </w:p>
    <w:p>
      <w:pPr>
        <w:spacing w:before="1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7"/>
        </w:rPr>
        <w:t>方式推动团体标准的实施。</w:t>
      </w:r>
    </w:p>
    <w:p>
      <w:pPr>
        <w:ind w:left="599"/>
        <w:spacing w:before="208" w:line="559" w:lineRule="exact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4"/>
          <w:position w:val="20"/>
        </w:rPr>
        <w:t>第四十七条</w:t>
      </w:r>
      <w:r>
        <w:rPr>
          <w:rFonts w:ascii="FangSong" w:hAnsi="FangSong" w:eastAsia="FangSong" w:cs="FangSong"/>
          <w:sz w:val="29"/>
          <w:szCs w:val="29"/>
          <w:spacing w:val="134"/>
          <w:position w:val="2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4"/>
          <w:position w:val="20"/>
        </w:rPr>
        <w:t>襄阳市建设工程咨询服务行业协会组织团体标准的</w:t>
      </w:r>
    </w:p>
    <w:p>
      <w:pPr>
        <w:spacing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7"/>
        </w:rPr>
        <w:t>合格评定、符合性测试等工作。</w:t>
      </w:r>
    </w:p>
    <w:p>
      <w:pPr>
        <w:ind w:left="599"/>
        <w:spacing w:before="213" w:line="559" w:lineRule="exact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3"/>
          <w:position w:val="20"/>
        </w:rPr>
        <w:t>第四十八条</w:t>
      </w:r>
      <w:r>
        <w:rPr>
          <w:rFonts w:ascii="FangSong" w:hAnsi="FangSong" w:eastAsia="FangSong" w:cs="FangSong"/>
          <w:sz w:val="29"/>
          <w:szCs w:val="29"/>
          <w:spacing w:val="154"/>
          <w:position w:val="2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3"/>
          <w:position w:val="20"/>
        </w:rPr>
        <w:t>襄阳市建设工程咨询服务行业协会推动团体标准在</w:t>
      </w:r>
    </w:p>
    <w:p>
      <w:pPr>
        <w:spacing w:before="1" w:line="218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8"/>
        </w:rPr>
        <w:t>条件成熟时转化为国家标准或行业标准。</w:t>
      </w:r>
    </w:p>
    <w:p>
      <w:pPr>
        <w:spacing w:line="451" w:lineRule="auto"/>
        <w:rPr>
          <w:rFonts w:ascii="Arial"/>
          <w:sz w:val="21"/>
        </w:rPr>
      </w:pPr>
      <w:r/>
    </w:p>
    <w:p>
      <w:pPr>
        <w:ind w:left="3894"/>
        <w:spacing w:before="95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b/>
          <w:bCs/>
          <w:spacing w:val="-6"/>
        </w:rPr>
        <w:t>第六章</w:t>
      </w:r>
      <w:r>
        <w:rPr>
          <w:rFonts w:ascii="FangSong" w:hAnsi="FangSong" w:eastAsia="FangSong" w:cs="FangSong"/>
          <w:sz w:val="29"/>
          <w:szCs w:val="29"/>
          <w:spacing w:val="6"/>
        </w:rPr>
        <w:t xml:space="preserve">  </w:t>
      </w:r>
      <w:r>
        <w:rPr>
          <w:rFonts w:ascii="FangSong" w:hAnsi="FangSong" w:eastAsia="FangSong" w:cs="FangSong"/>
          <w:sz w:val="29"/>
          <w:szCs w:val="29"/>
          <w:b/>
          <w:bCs/>
          <w:spacing w:val="-6"/>
        </w:rPr>
        <w:t>附</w:t>
      </w:r>
      <w:r>
        <w:rPr>
          <w:rFonts w:ascii="FangSong" w:hAnsi="FangSong" w:eastAsia="FangSong" w:cs="FangSong"/>
          <w:sz w:val="29"/>
          <w:szCs w:val="29"/>
          <w:spacing w:val="77"/>
        </w:rPr>
        <w:t xml:space="preserve"> </w:t>
      </w:r>
      <w:r>
        <w:rPr>
          <w:rFonts w:ascii="FangSong" w:hAnsi="FangSong" w:eastAsia="FangSong" w:cs="FangSong"/>
          <w:sz w:val="29"/>
          <w:szCs w:val="29"/>
          <w:b/>
          <w:bCs/>
          <w:spacing w:val="-6"/>
        </w:rPr>
        <w:t>则</w:t>
      </w:r>
    </w:p>
    <w:p>
      <w:pPr>
        <w:sectPr>
          <w:pgSz w:w="11900" w:h="16830"/>
          <w:pgMar w:top="400" w:right="1104" w:bottom="0" w:left="1589" w:header="0" w:footer="0" w:gutter="0"/>
        </w:sectPr>
        <w:rPr/>
      </w:pP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ind w:left="619"/>
        <w:spacing w:before="101" w:line="563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  <w:position w:val="18"/>
        </w:rPr>
        <w:t>第四十九条</w:t>
      </w:r>
      <w:r>
        <w:rPr>
          <w:rFonts w:ascii="FangSong" w:hAnsi="FangSong" w:eastAsia="FangSong" w:cs="FangSong"/>
          <w:sz w:val="31"/>
          <w:szCs w:val="31"/>
          <w:spacing w:val="138"/>
          <w:position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  <w:position w:val="18"/>
        </w:rPr>
        <w:t>本办法由襄阳市建设工程咨询服务行业协会负</w:t>
      </w:r>
      <w:r>
        <w:rPr>
          <w:rFonts w:ascii="FangSong" w:hAnsi="FangSong" w:eastAsia="FangSong" w:cs="FangSong"/>
          <w:sz w:val="31"/>
          <w:szCs w:val="31"/>
          <w:spacing w:val="-7"/>
          <w:position w:val="18"/>
        </w:rPr>
        <w:t>责解</w:t>
      </w:r>
    </w:p>
    <w:p>
      <w:pPr>
        <w:spacing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释。</w:t>
      </w:r>
    </w:p>
    <w:p>
      <w:pPr>
        <w:ind w:left="619"/>
        <w:spacing w:before="200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第五十条</w:t>
      </w:r>
      <w:r>
        <w:rPr>
          <w:rFonts w:ascii="FangSong" w:hAnsi="FangSong" w:eastAsia="FangSong" w:cs="FangSong"/>
          <w:sz w:val="31"/>
          <w:szCs w:val="31"/>
          <w:spacing w:val="12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本办法自发布之日起实施。</w:t>
      </w: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ind w:left="61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7"/>
        </w:rPr>
        <w:t>附件：</w:t>
      </w:r>
    </w:p>
    <w:p>
      <w:pPr>
        <w:ind w:left="619"/>
        <w:spacing w:before="183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附1:襄阳市建设工程咨询服务行业协会团体标</w:t>
      </w:r>
      <w:r>
        <w:rPr>
          <w:rFonts w:ascii="FangSong" w:hAnsi="FangSong" w:eastAsia="FangSong" w:cs="FangSong"/>
          <w:sz w:val="31"/>
          <w:szCs w:val="31"/>
          <w:spacing w:val="-2"/>
        </w:rPr>
        <w:t>准立项申请表</w:t>
      </w:r>
    </w:p>
    <w:p>
      <w:pPr>
        <w:ind w:left="619"/>
        <w:spacing w:before="19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附2:襄阳市建设工程咨询服务行业协会团体标</w:t>
      </w:r>
      <w:r>
        <w:rPr>
          <w:rFonts w:ascii="FangSong" w:hAnsi="FangSong" w:eastAsia="FangSong" w:cs="FangSong"/>
          <w:sz w:val="31"/>
          <w:szCs w:val="31"/>
          <w:spacing w:val="-2"/>
        </w:rPr>
        <w:t>准立项评审表</w:t>
      </w:r>
    </w:p>
    <w:p>
      <w:pPr>
        <w:ind w:left="619"/>
        <w:spacing w:before="193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附3: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ICS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号中国标准文献分类号</w:t>
      </w:r>
    </w:p>
    <w:p>
      <w:pPr>
        <w:ind w:left="619"/>
        <w:spacing w:before="18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0"/>
        </w:rPr>
        <w:t>附4:</w:t>
      </w:r>
      <w:r>
        <w:rPr>
          <w:rFonts w:ascii="FangSong" w:hAnsi="FangSong" w:eastAsia="FangSong" w:cs="FangSong"/>
          <w:sz w:val="31"/>
          <w:szCs w:val="31"/>
          <w:spacing w:val="8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《征求意见稿/送审稿/报批稿》编制说明</w:t>
      </w:r>
    </w:p>
    <w:p>
      <w:pPr>
        <w:ind w:left="619"/>
        <w:spacing w:before="187" w:line="566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  <w:position w:val="18"/>
        </w:rPr>
        <w:t>附5:襄阳市建设工程咨询服务行业协会团体标</w:t>
      </w:r>
      <w:r>
        <w:rPr>
          <w:rFonts w:ascii="FangSong" w:hAnsi="FangSong" w:eastAsia="FangSong" w:cs="FangSong"/>
          <w:sz w:val="31"/>
          <w:szCs w:val="31"/>
          <w:spacing w:val="-7"/>
          <w:position w:val="18"/>
        </w:rPr>
        <w:t>准征求意见汇总处</w:t>
      </w:r>
    </w:p>
    <w:p>
      <w:pPr>
        <w:spacing w:before="1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理表</w:t>
      </w:r>
    </w:p>
    <w:p>
      <w:pPr>
        <w:ind w:left="619"/>
        <w:spacing w:before="207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附6:襄阳市建设工程咨询服务行业协会团体标</w:t>
      </w:r>
      <w:r>
        <w:rPr>
          <w:rFonts w:ascii="FangSong" w:hAnsi="FangSong" w:eastAsia="FangSong" w:cs="FangSong"/>
          <w:sz w:val="31"/>
          <w:szCs w:val="31"/>
          <w:spacing w:val="-2"/>
        </w:rPr>
        <w:t>准技术审查表</w:t>
      </w:r>
    </w:p>
    <w:p>
      <w:pPr>
        <w:ind w:left="619"/>
        <w:spacing w:before="189" w:line="546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  <w:position w:val="17"/>
        </w:rPr>
        <w:t>附7:襄阳市建设工程咨询服务行业协会团体标</w:t>
      </w:r>
      <w:r>
        <w:rPr>
          <w:rFonts w:ascii="FangSong" w:hAnsi="FangSong" w:eastAsia="FangSong" w:cs="FangSong"/>
          <w:sz w:val="31"/>
          <w:szCs w:val="31"/>
          <w:spacing w:val="-7"/>
          <w:position w:val="17"/>
        </w:rPr>
        <w:t>准审查意见汇总处</w:t>
      </w:r>
    </w:p>
    <w:p>
      <w:pPr>
        <w:spacing w:before="1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理表</w:t>
      </w:r>
    </w:p>
    <w:p>
      <w:pPr>
        <w:ind w:left="619"/>
        <w:spacing w:before="197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附8:襄阳市建设工程咨询服务行业协会团体标</w:t>
      </w:r>
      <w:r>
        <w:rPr>
          <w:rFonts w:ascii="FangSong" w:hAnsi="FangSong" w:eastAsia="FangSong" w:cs="FangSong"/>
          <w:sz w:val="31"/>
          <w:szCs w:val="31"/>
          <w:spacing w:val="-2"/>
        </w:rPr>
        <w:t>准复审意见表</w:t>
      </w:r>
    </w:p>
    <w:p>
      <w:pPr>
        <w:ind w:left="619"/>
        <w:spacing w:before="189" w:line="55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  <w:position w:val="18"/>
        </w:rPr>
        <w:t>附9:襄阳市建设工程咨询服务行业协会团体标准项目调整(撤</w:t>
      </w:r>
      <w:r>
        <w:rPr>
          <w:rFonts w:ascii="FangSong" w:hAnsi="FangSong" w:eastAsia="FangSong" w:cs="FangSong"/>
          <w:sz w:val="31"/>
          <w:szCs w:val="31"/>
          <w:spacing w:val="-5"/>
          <w:position w:val="18"/>
        </w:rPr>
        <w:t>销)</w:t>
      </w:r>
    </w:p>
    <w:p>
      <w:pPr>
        <w:ind w:left="49"/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5"/>
        </w:rPr>
        <w:t>申请表</w:t>
      </w:r>
    </w:p>
    <w:p>
      <w:pPr>
        <w:sectPr>
          <w:pgSz w:w="11900" w:h="16830"/>
          <w:pgMar w:top="400" w:right="1141" w:bottom="0" w:left="1579" w:header="0" w:footer="0" w:gutter="0"/>
        </w:sectPr>
        <w:rPr/>
      </w:pP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ind w:left="39"/>
        <w:spacing w:before="94" w:line="225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-17"/>
        </w:rPr>
        <w:t>附</w:t>
      </w:r>
      <w:r>
        <w:rPr>
          <w:rFonts w:ascii="SimHei" w:hAnsi="SimHei" w:eastAsia="SimHei" w:cs="SimHei"/>
          <w:sz w:val="29"/>
          <w:szCs w:val="29"/>
          <w:spacing w:val="23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17"/>
        </w:rPr>
        <w:t>1</w:t>
      </w:r>
    </w:p>
    <w:p>
      <w:pPr>
        <w:ind w:left="319"/>
        <w:spacing w:before="161" w:line="215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-4"/>
        </w:rPr>
        <w:t>襄阳市建设工程咨询服务行业协会团体标准立项申请表</w:t>
      </w:r>
    </w:p>
    <w:tbl>
      <w:tblPr>
        <w:tblStyle w:val="2"/>
        <w:tblW w:w="925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362"/>
        <w:gridCol w:w="2288"/>
        <w:gridCol w:w="1588"/>
        <w:gridCol w:w="459"/>
        <w:gridCol w:w="2562"/>
      </w:tblGrid>
      <w:tr>
        <w:trPr>
          <w:trHeight w:val="584" w:hRule="atLeast"/>
        </w:trPr>
        <w:tc>
          <w:tcPr>
            <w:tcW w:w="2362" w:type="dxa"/>
            <w:vAlign w:val="top"/>
          </w:tcPr>
          <w:p>
            <w:pPr>
              <w:ind w:left="485"/>
              <w:spacing w:before="194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*标准中文名称</w:t>
            </w:r>
          </w:p>
        </w:tc>
        <w:tc>
          <w:tcPr>
            <w:tcW w:w="689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0" w:hRule="atLeast"/>
        </w:trPr>
        <w:tc>
          <w:tcPr>
            <w:tcW w:w="2362" w:type="dxa"/>
            <w:vAlign w:val="top"/>
          </w:tcPr>
          <w:p>
            <w:pPr>
              <w:ind w:left="485"/>
              <w:spacing w:before="190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*标准英文名称</w:t>
            </w:r>
          </w:p>
        </w:tc>
        <w:tc>
          <w:tcPr>
            <w:tcW w:w="689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9" w:hRule="atLeast"/>
        </w:trPr>
        <w:tc>
          <w:tcPr>
            <w:tcW w:w="2362" w:type="dxa"/>
            <w:vAlign w:val="top"/>
          </w:tcPr>
          <w:p>
            <w:pPr>
              <w:ind w:left="594"/>
              <w:spacing w:before="18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*制定或修订</w:t>
            </w:r>
          </w:p>
        </w:tc>
        <w:tc>
          <w:tcPr>
            <w:tcW w:w="2288" w:type="dxa"/>
            <w:vAlign w:val="top"/>
          </w:tcPr>
          <w:p>
            <w:pPr>
              <w:ind w:left="253"/>
              <w:spacing w:before="15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□制定</w:t>
            </w:r>
            <w:r>
              <w:rPr>
                <w:rFonts w:ascii="SimSun" w:hAnsi="SimSun" w:eastAsia="SimSun" w:cs="SimSun"/>
                <w:sz w:val="21"/>
                <w:szCs w:val="21"/>
                <w:spacing w:val="24"/>
              </w:rPr>
              <w:t xml:space="preserve">    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□修订</w:t>
            </w:r>
          </w:p>
        </w:tc>
        <w:tc>
          <w:tcPr>
            <w:tcW w:w="2047" w:type="dxa"/>
            <w:vAlign w:val="top"/>
            <w:gridSpan w:val="2"/>
          </w:tcPr>
          <w:p>
            <w:pPr>
              <w:ind w:left="385"/>
              <w:spacing w:before="18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被修订标准号</w:t>
            </w:r>
          </w:p>
        </w:tc>
        <w:tc>
          <w:tcPr>
            <w:tcW w:w="2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0" w:hRule="atLeast"/>
        </w:trPr>
        <w:tc>
          <w:tcPr>
            <w:tcW w:w="2362" w:type="dxa"/>
            <w:vAlign w:val="top"/>
          </w:tcPr>
          <w:p>
            <w:pPr>
              <w:ind w:left="644"/>
              <w:spacing w:before="19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*</w:t>
            </w:r>
            <w:r>
              <w:rPr>
                <w:rFonts w:ascii="SimSun" w:hAnsi="SimSun" w:eastAsia="SimSun" w:cs="SimSun"/>
                <w:sz w:val="21"/>
                <w:szCs w:val="21"/>
              </w:rPr>
              <w:t>ICS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分类号</w:t>
            </w:r>
          </w:p>
        </w:tc>
        <w:tc>
          <w:tcPr>
            <w:tcW w:w="22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7" w:type="dxa"/>
            <w:vAlign w:val="top"/>
            <w:gridSpan w:val="2"/>
          </w:tcPr>
          <w:p>
            <w:pPr>
              <w:ind w:left="545"/>
              <w:spacing w:before="19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CCS分类号</w:t>
            </w:r>
          </w:p>
        </w:tc>
        <w:tc>
          <w:tcPr>
            <w:tcW w:w="2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0" w:hRule="atLeast"/>
        </w:trPr>
        <w:tc>
          <w:tcPr>
            <w:tcW w:w="2362" w:type="dxa"/>
            <w:vAlign w:val="top"/>
          </w:tcPr>
          <w:p>
            <w:pPr>
              <w:ind w:left="485"/>
              <w:spacing w:before="19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*计划开始时间</w:t>
            </w:r>
          </w:p>
        </w:tc>
        <w:tc>
          <w:tcPr>
            <w:tcW w:w="2288" w:type="dxa"/>
            <w:vAlign w:val="top"/>
          </w:tcPr>
          <w:p>
            <w:pPr>
              <w:ind w:left="823"/>
              <w:spacing w:before="19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年</w:t>
            </w:r>
            <w:r>
              <w:rPr>
                <w:rFonts w:ascii="SimSun" w:hAnsi="SimSun" w:eastAsia="SimSun" w:cs="SimSun"/>
                <w:sz w:val="21"/>
                <w:szCs w:val="21"/>
                <w:spacing w:val="32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月</w:t>
            </w:r>
          </w:p>
        </w:tc>
        <w:tc>
          <w:tcPr>
            <w:tcW w:w="2047" w:type="dxa"/>
            <w:vAlign w:val="top"/>
            <w:gridSpan w:val="2"/>
          </w:tcPr>
          <w:p>
            <w:pPr>
              <w:ind w:left="335"/>
              <w:spacing w:before="19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*计划完成时间</w:t>
            </w:r>
          </w:p>
        </w:tc>
        <w:tc>
          <w:tcPr>
            <w:tcW w:w="2562" w:type="dxa"/>
            <w:vAlign w:val="top"/>
          </w:tcPr>
          <w:p>
            <w:pPr>
              <w:ind w:right="107"/>
              <w:spacing w:before="190" w:line="219" w:lineRule="auto"/>
              <w:jc w:val="righ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年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 xml:space="preserve">         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月</w:t>
            </w:r>
          </w:p>
        </w:tc>
      </w:tr>
      <w:tr>
        <w:trPr>
          <w:trHeight w:val="579" w:hRule="atLeast"/>
        </w:trPr>
        <w:tc>
          <w:tcPr>
            <w:tcW w:w="2362" w:type="dxa"/>
            <w:vAlign w:val="top"/>
          </w:tcPr>
          <w:p>
            <w:pPr>
              <w:ind w:left="545"/>
              <w:spacing w:before="18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采用国际标准</w:t>
            </w:r>
          </w:p>
        </w:tc>
        <w:tc>
          <w:tcPr>
            <w:tcW w:w="2288" w:type="dxa"/>
            <w:vAlign w:val="top"/>
          </w:tcPr>
          <w:p>
            <w:pPr>
              <w:ind w:left="712"/>
              <w:spacing w:before="191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□是□否</w:t>
            </w:r>
          </w:p>
        </w:tc>
        <w:tc>
          <w:tcPr>
            <w:tcW w:w="2047" w:type="dxa"/>
            <w:vAlign w:val="top"/>
            <w:gridSpan w:val="2"/>
          </w:tcPr>
          <w:p>
            <w:pPr>
              <w:ind w:left="704"/>
              <w:spacing w:before="18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采标号</w:t>
            </w:r>
          </w:p>
        </w:tc>
        <w:tc>
          <w:tcPr>
            <w:tcW w:w="2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0" w:hRule="atLeast"/>
        </w:trPr>
        <w:tc>
          <w:tcPr>
            <w:tcW w:w="2362" w:type="dxa"/>
            <w:vAlign w:val="top"/>
          </w:tcPr>
          <w:p>
            <w:pPr>
              <w:ind w:left="545"/>
              <w:spacing w:before="18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采标英文名称</w:t>
            </w:r>
          </w:p>
        </w:tc>
        <w:tc>
          <w:tcPr>
            <w:tcW w:w="689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9" w:hRule="atLeast"/>
        </w:trPr>
        <w:tc>
          <w:tcPr>
            <w:tcW w:w="2362" w:type="dxa"/>
            <w:vAlign w:val="top"/>
          </w:tcPr>
          <w:p>
            <w:pPr>
              <w:ind w:left="545"/>
              <w:spacing w:before="19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采标中文名称</w:t>
            </w:r>
          </w:p>
        </w:tc>
        <w:tc>
          <w:tcPr>
            <w:tcW w:w="689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0" w:hRule="atLeast"/>
        </w:trPr>
        <w:tc>
          <w:tcPr>
            <w:tcW w:w="2362" w:type="dxa"/>
            <w:vAlign w:val="top"/>
          </w:tcPr>
          <w:p>
            <w:pPr>
              <w:ind w:left="755"/>
              <w:spacing w:before="191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采用程度</w:t>
            </w:r>
          </w:p>
        </w:tc>
        <w:tc>
          <w:tcPr>
            <w:tcW w:w="6897" w:type="dxa"/>
            <w:vAlign w:val="top"/>
            <w:gridSpan w:val="4"/>
          </w:tcPr>
          <w:p>
            <w:pPr>
              <w:ind w:left="2323"/>
              <w:spacing w:before="218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0"/>
              </w:rPr>
              <w:t>□</w:t>
            </w:r>
            <w:r>
              <w:rPr>
                <w:rFonts w:ascii="SimSun" w:hAnsi="SimSun" w:eastAsia="SimSun" w:cs="SimSun"/>
                <w:sz w:val="21"/>
                <w:szCs w:val="21"/>
                <w:spacing w:val="39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0"/>
              </w:rPr>
              <w:t>IDT</w:t>
            </w:r>
            <w:r>
              <w:rPr>
                <w:rFonts w:ascii="SimSun" w:hAnsi="SimSun" w:eastAsia="SimSun" w:cs="SimSun"/>
                <w:sz w:val="21"/>
                <w:szCs w:val="21"/>
                <w:spacing w:val="26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10"/>
              </w:rPr>
              <w:t>□</w:t>
            </w:r>
            <w:r>
              <w:rPr>
                <w:rFonts w:ascii="SimSun" w:hAnsi="SimSun" w:eastAsia="SimSun" w:cs="SimSun"/>
                <w:sz w:val="21"/>
                <w:szCs w:val="21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0"/>
              </w:rPr>
              <w:t>MOD</w:t>
            </w:r>
            <w:r>
              <w:rPr>
                <w:rFonts w:ascii="SimSun" w:hAnsi="SimSun" w:eastAsia="SimSun" w:cs="SimSun"/>
                <w:sz w:val="21"/>
                <w:szCs w:val="21"/>
                <w:spacing w:val="58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0"/>
              </w:rPr>
              <w:t>□</w:t>
            </w:r>
            <w:r>
              <w:rPr>
                <w:rFonts w:ascii="SimSun" w:hAnsi="SimSun" w:eastAsia="SimSun" w:cs="SimSun"/>
                <w:sz w:val="21"/>
                <w:szCs w:val="21"/>
                <w:spacing w:val="48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0"/>
              </w:rPr>
              <w:t>NEQ</w:t>
            </w:r>
          </w:p>
        </w:tc>
      </w:tr>
      <w:tr>
        <w:trPr>
          <w:trHeight w:val="579" w:hRule="atLeast"/>
        </w:trPr>
        <w:tc>
          <w:tcPr>
            <w:tcW w:w="2362" w:type="dxa"/>
            <w:vAlign w:val="top"/>
          </w:tcPr>
          <w:p>
            <w:pPr>
              <w:ind w:left="694"/>
              <w:spacing w:before="192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*申请单位</w:t>
            </w:r>
          </w:p>
        </w:tc>
        <w:tc>
          <w:tcPr>
            <w:tcW w:w="6897" w:type="dxa"/>
            <w:vAlign w:val="top"/>
            <w:gridSpan w:val="4"/>
          </w:tcPr>
          <w:p>
            <w:pPr>
              <w:ind w:left="253"/>
              <w:spacing w:before="191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联合申请填写牵头单位名称、联系人、联系方式，其他单位另附页。</w:t>
            </w:r>
          </w:p>
        </w:tc>
      </w:tr>
      <w:tr>
        <w:trPr>
          <w:trHeight w:val="570" w:hRule="atLeast"/>
        </w:trPr>
        <w:tc>
          <w:tcPr>
            <w:tcW w:w="2362" w:type="dxa"/>
            <w:vAlign w:val="top"/>
          </w:tcPr>
          <w:p>
            <w:pPr>
              <w:ind w:left="805"/>
              <w:spacing w:before="186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*联系人</w:t>
            </w:r>
          </w:p>
        </w:tc>
        <w:tc>
          <w:tcPr>
            <w:tcW w:w="22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ind w:left="315"/>
              <w:spacing w:before="184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*联系方式</w:t>
            </w:r>
          </w:p>
        </w:tc>
        <w:tc>
          <w:tcPr>
            <w:tcW w:w="302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" w:hRule="atLeast"/>
        </w:trPr>
        <w:tc>
          <w:tcPr>
            <w:tcW w:w="2362" w:type="dxa"/>
            <w:vAlign w:val="top"/>
          </w:tcPr>
          <w:p>
            <w:pPr>
              <w:ind w:left="594"/>
              <w:spacing w:before="204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*目的和意义</w:t>
            </w:r>
          </w:p>
        </w:tc>
        <w:tc>
          <w:tcPr>
            <w:tcW w:w="689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79" w:hRule="atLeast"/>
        </w:trPr>
        <w:tc>
          <w:tcPr>
            <w:tcW w:w="2362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ind w:left="175"/>
              <w:spacing w:before="6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*适用范围和主要内容</w:t>
            </w:r>
          </w:p>
        </w:tc>
        <w:tc>
          <w:tcPr>
            <w:tcW w:w="689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19" w:hRule="atLeast"/>
        </w:trPr>
        <w:tc>
          <w:tcPr>
            <w:tcW w:w="2362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ind w:left="175"/>
              <w:spacing w:before="6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*国内外情况简要说明</w:t>
            </w:r>
          </w:p>
        </w:tc>
        <w:tc>
          <w:tcPr>
            <w:tcW w:w="6897" w:type="dxa"/>
            <w:vAlign w:val="top"/>
            <w:gridSpan w:val="4"/>
          </w:tcPr>
          <w:p>
            <w:pPr>
              <w:ind w:left="12"/>
              <w:spacing w:before="234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说明国外相关标准研究与应用情况；说明国内已发布或正在制定的相关标准</w:t>
            </w:r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1973"/>
              <w:spacing w:before="6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和法律法规与本标准的关联性。</w:t>
            </w:r>
          </w:p>
        </w:tc>
      </w:tr>
      <w:tr>
        <w:trPr>
          <w:trHeight w:val="2323" w:hRule="atLeast"/>
        </w:trPr>
        <w:tc>
          <w:tcPr>
            <w:tcW w:w="2362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485"/>
              <w:spacing w:before="6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*申请单位意见</w:t>
            </w:r>
          </w:p>
        </w:tc>
        <w:tc>
          <w:tcPr>
            <w:tcW w:w="6897" w:type="dxa"/>
            <w:vAlign w:val="top"/>
            <w:gridSpan w:val="4"/>
          </w:tcPr>
          <w:p>
            <w:pPr>
              <w:ind w:left="803"/>
              <w:spacing w:before="185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涉及联合申请的每个申请单位都应加盖公章，可另附页。</w:t>
            </w:r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4643"/>
              <w:spacing w:before="6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9"/>
              </w:rPr>
              <w:t>(</w:t>
            </w:r>
            <w:r>
              <w:rPr>
                <w:rFonts w:ascii="SimSun" w:hAnsi="SimSun" w:eastAsia="SimSun" w:cs="SimSun"/>
                <w:sz w:val="21"/>
                <w:szCs w:val="21"/>
                <w:spacing w:val="-37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9"/>
              </w:rPr>
              <w:t>公</w:t>
            </w:r>
            <w:r>
              <w:rPr>
                <w:rFonts w:ascii="SimSun" w:hAnsi="SimSun" w:eastAsia="SimSun" w:cs="SimSun"/>
                <w:sz w:val="21"/>
                <w:szCs w:val="21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9"/>
              </w:rPr>
              <w:t>章</w:t>
            </w:r>
            <w:r>
              <w:rPr>
                <w:rFonts w:ascii="SimSun" w:hAnsi="SimSun" w:eastAsia="SimSun" w:cs="SimSun"/>
                <w:sz w:val="21"/>
                <w:szCs w:val="21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9"/>
              </w:rPr>
              <w:t>)</w:t>
            </w:r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4113"/>
              <w:spacing w:before="6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年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 xml:space="preserve">     </w:t>
            </w: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月</w: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 xml:space="preserve">      </w:t>
            </w: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日</w:t>
            </w:r>
          </w:p>
        </w:tc>
      </w:tr>
    </w:tbl>
    <w:p>
      <w:pPr>
        <w:ind w:left="34"/>
        <w:spacing w:before="152" w:line="222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2"/>
        </w:rPr>
        <w:t>注：1.标“*”内容为必填项；</w:t>
      </w:r>
    </w:p>
    <w:p>
      <w:pPr>
        <w:ind w:left="34"/>
        <w:spacing w:before="147" w:line="410" w:lineRule="exact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4"/>
          <w:position w:val="15"/>
        </w:rPr>
        <w:t>2.ICS</w:t>
      </w:r>
      <w:r>
        <w:rPr>
          <w:rFonts w:ascii="FangSong" w:hAnsi="FangSong" w:eastAsia="FangSong" w:cs="FangSong"/>
          <w:sz w:val="21"/>
          <w:szCs w:val="21"/>
          <w:spacing w:val="-31"/>
          <w:position w:val="15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4"/>
          <w:position w:val="15"/>
        </w:rPr>
        <w:t>为国际标准文献分类法，</w:t>
      </w:r>
      <w:r>
        <w:rPr>
          <w:rFonts w:ascii="FangSong" w:hAnsi="FangSong" w:eastAsia="FangSong" w:cs="FangSong"/>
          <w:sz w:val="21"/>
          <w:szCs w:val="21"/>
          <w:spacing w:val="10"/>
          <w:position w:val="15"/>
        </w:rPr>
        <w:t xml:space="preserve">  </w:t>
      </w:r>
      <w:r>
        <w:rPr>
          <w:rFonts w:ascii="FangSong" w:hAnsi="FangSong" w:eastAsia="FangSong" w:cs="FangSong"/>
          <w:sz w:val="21"/>
          <w:szCs w:val="21"/>
          <w:spacing w:val="-4"/>
          <w:position w:val="15"/>
        </w:rPr>
        <w:t>CCS</w:t>
      </w:r>
      <w:r>
        <w:rPr>
          <w:rFonts w:ascii="FangSong" w:hAnsi="FangSong" w:eastAsia="FangSong" w:cs="FangSong"/>
          <w:sz w:val="21"/>
          <w:szCs w:val="21"/>
          <w:spacing w:val="-24"/>
          <w:position w:val="15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4"/>
          <w:position w:val="15"/>
        </w:rPr>
        <w:t>为</w:t>
      </w:r>
      <w:r>
        <w:rPr>
          <w:rFonts w:ascii="FangSong" w:hAnsi="FangSong" w:eastAsia="FangSong" w:cs="FangSong"/>
          <w:sz w:val="21"/>
          <w:szCs w:val="21"/>
          <w:spacing w:val="-5"/>
          <w:position w:val="15"/>
        </w:rPr>
        <w:t>中国标准文献分类法；</w:t>
      </w:r>
    </w:p>
    <w:p>
      <w:pPr>
        <w:ind w:left="34"/>
        <w:spacing w:line="222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8"/>
        </w:rPr>
        <w:t>3.IDT</w:t>
      </w:r>
      <w:r>
        <w:rPr>
          <w:rFonts w:ascii="FangSong" w:hAnsi="FangSong" w:eastAsia="FangSong" w:cs="FangSong"/>
          <w:sz w:val="21"/>
          <w:szCs w:val="21"/>
          <w:spacing w:val="22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8"/>
        </w:rPr>
        <w:t>为等同采用，</w:t>
      </w:r>
      <w:r>
        <w:rPr>
          <w:rFonts w:ascii="FangSong" w:hAnsi="FangSong" w:eastAsia="FangSong" w:cs="FangSong"/>
          <w:sz w:val="21"/>
          <w:szCs w:val="21"/>
          <w:spacing w:val="15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8"/>
        </w:rPr>
        <w:t>MOD</w:t>
      </w:r>
      <w:r>
        <w:rPr>
          <w:rFonts w:ascii="FangSong" w:hAnsi="FangSong" w:eastAsia="FangSong" w:cs="FangSong"/>
          <w:sz w:val="21"/>
          <w:szCs w:val="21"/>
          <w:spacing w:val="21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8"/>
        </w:rPr>
        <w:t>为修改采用，</w:t>
      </w:r>
      <w:r>
        <w:rPr>
          <w:rFonts w:ascii="FangSong" w:hAnsi="FangSong" w:eastAsia="FangSong" w:cs="FangSong"/>
          <w:sz w:val="21"/>
          <w:szCs w:val="21"/>
          <w:spacing w:val="5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8"/>
        </w:rPr>
        <w:t>NEQ</w:t>
      </w:r>
      <w:r>
        <w:rPr>
          <w:rFonts w:ascii="FangSong" w:hAnsi="FangSong" w:eastAsia="FangSong" w:cs="FangSong"/>
          <w:sz w:val="21"/>
          <w:szCs w:val="21"/>
          <w:spacing w:val="30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8"/>
        </w:rPr>
        <w:t>为非等效采用。</w:t>
      </w:r>
    </w:p>
    <w:p>
      <w:pPr>
        <w:sectPr>
          <w:pgSz w:w="11900" w:h="16830"/>
          <w:pgMar w:top="400" w:right="1105" w:bottom="0" w:left="1524" w:header="0" w:footer="0" w:gutter="0"/>
        </w:sectPr>
        <w:rPr/>
      </w:pP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before="94" w:line="225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-17"/>
        </w:rPr>
        <w:t>附</w:t>
      </w:r>
      <w:r>
        <w:rPr>
          <w:rFonts w:ascii="SimHei" w:hAnsi="SimHei" w:eastAsia="SimHei" w:cs="SimHei"/>
          <w:sz w:val="29"/>
          <w:szCs w:val="29"/>
          <w:spacing w:val="5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17"/>
        </w:rPr>
        <w:t>2</w:t>
      </w:r>
    </w:p>
    <w:p>
      <w:pPr>
        <w:ind w:left="231"/>
        <w:spacing w:before="151" w:line="219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b/>
          <w:bCs/>
          <w:spacing w:val="-3"/>
        </w:rPr>
        <w:t>襄阳市建设工程咨询服务行业协会团体标准立项评审表</w:t>
      </w:r>
    </w:p>
    <w:p>
      <w:pPr>
        <w:spacing w:line="11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8240" w:type="dxa"/>
        <w:tblInd w:w="43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94"/>
        <w:gridCol w:w="1188"/>
        <w:gridCol w:w="200"/>
        <w:gridCol w:w="4355"/>
        <w:gridCol w:w="1703"/>
      </w:tblGrid>
      <w:tr>
        <w:trPr>
          <w:trHeight w:val="584" w:hRule="atLeast"/>
        </w:trPr>
        <w:tc>
          <w:tcPr>
            <w:tcW w:w="1982" w:type="dxa"/>
            <w:vAlign w:val="top"/>
            <w:gridSpan w:val="2"/>
          </w:tcPr>
          <w:p>
            <w:pPr>
              <w:ind w:left="565"/>
              <w:spacing w:before="194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标准名称</w:t>
            </w:r>
          </w:p>
        </w:tc>
        <w:tc>
          <w:tcPr>
            <w:tcW w:w="625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9" w:hRule="atLeast"/>
        </w:trPr>
        <w:tc>
          <w:tcPr>
            <w:tcW w:w="1982" w:type="dxa"/>
            <w:vAlign w:val="top"/>
            <w:gridSpan w:val="2"/>
          </w:tcPr>
          <w:p>
            <w:pPr>
              <w:ind w:left="565"/>
              <w:spacing w:before="18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申请单位</w:t>
            </w:r>
          </w:p>
        </w:tc>
        <w:tc>
          <w:tcPr>
            <w:tcW w:w="6258" w:type="dxa"/>
            <w:vAlign w:val="top"/>
            <w:gridSpan w:val="3"/>
          </w:tcPr>
          <w:p>
            <w:pPr>
              <w:ind w:left="983"/>
              <w:spacing w:before="18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联合申请填牵头单位名称，其他单位另附页。</w:t>
            </w:r>
          </w:p>
        </w:tc>
      </w:tr>
      <w:tr>
        <w:trPr>
          <w:trHeight w:val="580" w:hRule="atLeast"/>
        </w:trPr>
        <w:tc>
          <w:tcPr>
            <w:tcW w:w="1982" w:type="dxa"/>
            <w:vAlign w:val="top"/>
            <w:gridSpan w:val="2"/>
          </w:tcPr>
          <w:p>
            <w:pPr>
              <w:ind w:left="565"/>
              <w:spacing w:before="191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评审方式</w:t>
            </w:r>
          </w:p>
        </w:tc>
        <w:tc>
          <w:tcPr>
            <w:tcW w:w="6258" w:type="dxa"/>
            <w:vAlign w:val="top"/>
            <w:gridSpan w:val="3"/>
          </w:tcPr>
          <w:p>
            <w:pPr>
              <w:ind w:left="2612"/>
              <w:spacing w:before="18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□会审</w:t>
            </w:r>
            <w:r>
              <w:rPr>
                <w:rFonts w:ascii="SimSun" w:hAnsi="SimSun" w:eastAsia="SimSun" w:cs="SimSun"/>
                <w:sz w:val="21"/>
                <w:szCs w:val="21"/>
                <w:spacing w:val="26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□函审</w:t>
            </w:r>
          </w:p>
        </w:tc>
      </w:tr>
      <w:tr>
        <w:trPr>
          <w:trHeight w:val="579" w:hRule="atLeast"/>
        </w:trPr>
        <w:tc>
          <w:tcPr>
            <w:tcW w:w="1982" w:type="dxa"/>
            <w:vAlign w:val="top"/>
            <w:gridSpan w:val="2"/>
          </w:tcPr>
          <w:p>
            <w:pPr>
              <w:ind w:left="565"/>
              <w:spacing w:before="18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会审时间</w:t>
            </w:r>
          </w:p>
        </w:tc>
        <w:tc>
          <w:tcPr>
            <w:tcW w:w="6258" w:type="dxa"/>
            <w:vAlign w:val="top"/>
            <w:gridSpan w:val="3"/>
          </w:tcPr>
          <w:p>
            <w:pPr>
              <w:ind w:left="2753"/>
              <w:spacing w:before="19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年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 xml:space="preserve">    </w:t>
            </w: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月</w:t>
            </w:r>
            <w:r>
              <w:rPr>
                <w:rFonts w:ascii="SimSun" w:hAnsi="SimSun" w:eastAsia="SimSun" w:cs="SimSun"/>
                <w:sz w:val="21"/>
                <w:szCs w:val="21"/>
                <w:spacing w:val="13"/>
              </w:rPr>
              <w:t xml:space="preserve">     </w:t>
            </w: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日</w:t>
            </w:r>
          </w:p>
        </w:tc>
      </w:tr>
      <w:tr>
        <w:trPr>
          <w:trHeight w:val="789" w:hRule="atLeast"/>
        </w:trPr>
        <w:tc>
          <w:tcPr>
            <w:tcW w:w="1982" w:type="dxa"/>
            <w:vAlign w:val="top"/>
            <w:gridSpan w:val="2"/>
          </w:tcPr>
          <w:p>
            <w:pPr>
              <w:ind w:left="565"/>
              <w:spacing w:before="292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函审时间</w:t>
            </w:r>
          </w:p>
        </w:tc>
        <w:tc>
          <w:tcPr>
            <w:tcW w:w="6258" w:type="dxa"/>
            <w:vAlign w:val="top"/>
            <w:gridSpan w:val="3"/>
          </w:tcPr>
          <w:p>
            <w:pPr>
              <w:ind w:left="1712"/>
              <w:spacing w:before="13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  <w:position w:val="-1"/>
              </w:rPr>
              <w:t>发出日期：</w:t>
            </w:r>
            <w:r>
              <w:rPr>
                <w:rFonts w:ascii="SimSun" w:hAnsi="SimSun" w:eastAsia="SimSun" w:cs="SimSun"/>
                <w:sz w:val="21"/>
                <w:szCs w:val="21"/>
                <w:spacing w:val="17"/>
                <w:position w:val="-1"/>
              </w:rPr>
              <w:t xml:space="preserve">    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  <w:position w:val="2"/>
              </w:rPr>
              <w:t>年</w:t>
            </w:r>
            <w:r>
              <w:rPr>
                <w:rFonts w:ascii="SimSun" w:hAnsi="SimSun" w:eastAsia="SimSun" w:cs="SimSun"/>
                <w:sz w:val="21"/>
                <w:szCs w:val="21"/>
                <w:spacing w:val="16"/>
                <w:position w:val="2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  <w:position w:val="2"/>
              </w:rPr>
              <w:t>月</w:t>
            </w:r>
            <w:r>
              <w:rPr>
                <w:rFonts w:ascii="SimSun" w:hAnsi="SimSun" w:eastAsia="SimSun" w:cs="SimSun"/>
                <w:sz w:val="21"/>
                <w:szCs w:val="21"/>
                <w:spacing w:val="23"/>
                <w:position w:val="2"/>
              </w:rPr>
              <w:t xml:space="preserve">   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  <w:position w:val="2"/>
              </w:rPr>
              <w:t>日</w:t>
            </w:r>
          </w:p>
          <w:p>
            <w:pPr>
              <w:ind w:left="1712"/>
              <w:spacing w:before="108" w:line="20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  <w:position w:val="-1"/>
              </w:rPr>
              <w:t>截止日期：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  <w:position w:val="-1"/>
              </w:rPr>
              <w:t xml:space="preserve">     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  <w:position w:val="1"/>
              </w:rPr>
              <w:t>年</w:t>
            </w:r>
            <w:r>
              <w:rPr>
                <w:rFonts w:ascii="SimSun" w:hAnsi="SimSun" w:eastAsia="SimSun" w:cs="SimSun"/>
                <w:sz w:val="21"/>
                <w:szCs w:val="21"/>
                <w:spacing w:val="12"/>
                <w:position w:val="1"/>
              </w:rPr>
              <w:t xml:space="preserve">   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  <w:position w:val="1"/>
              </w:rPr>
              <w:t>月</w:t>
            </w:r>
            <w:r>
              <w:rPr>
                <w:rFonts w:ascii="SimSun" w:hAnsi="SimSun" w:eastAsia="SimSun" w:cs="SimSun"/>
                <w:sz w:val="21"/>
                <w:szCs w:val="21"/>
                <w:spacing w:val="23"/>
                <w:position w:val="1"/>
              </w:rPr>
              <w:t xml:space="preserve">   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  <w:position w:val="1"/>
              </w:rPr>
              <w:t>日</w:t>
            </w:r>
          </w:p>
        </w:tc>
      </w:tr>
      <w:tr>
        <w:trPr>
          <w:trHeight w:val="2078" w:hRule="atLeast"/>
        </w:trPr>
        <w:tc>
          <w:tcPr>
            <w:tcW w:w="8240" w:type="dxa"/>
            <w:vAlign w:val="top"/>
            <w:gridSpan w:val="5"/>
          </w:tcPr>
          <w:p>
            <w:pPr>
              <w:ind w:left="4"/>
              <w:spacing w:before="153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0"/>
              </w:rPr>
              <w:t>评审情况：</w:t>
            </w:r>
          </w:p>
          <w:p>
            <w:pPr>
              <w:spacing w:line="168" w:lineRule="exact"/>
              <w:rPr/>
            </w:pPr>
            <w:r/>
          </w:p>
          <w:tbl>
            <w:tblPr>
              <w:tblStyle w:val="2"/>
              <w:tblW w:w="2310" w:type="dxa"/>
              <w:tblInd w:w="875" w:type="dxa"/>
              <w:tblLayout w:type="fixed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</w:tblPr>
            <w:tblGrid>
              <w:gridCol w:w="1814"/>
              <w:gridCol w:w="496"/>
            </w:tblGrid>
            <w:tr>
              <w:trPr>
                <w:trHeight w:val="305" w:hRule="atLeast"/>
              </w:trPr>
              <w:tc>
                <w:tcPr>
                  <w:tcW w:w="1814" w:type="dxa"/>
                  <w:vAlign w:val="top"/>
                </w:tcPr>
                <w:p>
                  <w:pPr>
                    <w:spacing w:line="219" w:lineRule="auto"/>
                    <w:rPr>
                      <w:rFonts w:ascii="SimSun" w:hAnsi="SimSun" w:eastAsia="SimSun" w:cs="SimSun"/>
                      <w:sz w:val="21"/>
                      <w:szCs w:val="21"/>
                    </w:rPr>
                  </w:pP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5"/>
                    </w:rPr>
                    <w:t>参与评审的人数：</w:t>
                  </w:r>
                </w:p>
              </w:tc>
              <w:tc>
                <w:tcPr>
                  <w:tcW w:w="496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>
                    <w:pict>
                      <v:shape id="_x0000_s3" style="position:absolute;margin-left:-14.734pt;margin-top:-1pt;mso-position-vertical-relative:top-margin-area;mso-position-horizontal-relative:right-margin-area;width:21pt;height:14.6pt;z-index:251709440;" filled="false" stroked="false" type="#_x0000_t202">
                        <v:fill on="false"/>
                        <v:stroke on="false"/>
                        <v:path/>
                        <v:imagedata o:title=""/>
                        <o:lock v:ext="edit" aspectratio="false"/>
                        <v:textbox inset="0mm,0mm,0mm,0mm">
                          <w:txbxContent>
                            <w:p>
                              <w:pPr>
                                <w:ind w:left="20"/>
                                <w:spacing w:before="19" w:line="221" w:lineRule="auto"/>
                                <w:rPr>
                                  <w:rFonts w:ascii="SimSun" w:hAnsi="SimSun" w:eastAsia="SimSun" w:cs="SimSu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SimSun" w:hAnsi="SimSun" w:eastAsia="SimSun" w:cs="SimSun"/>
                                  <w:sz w:val="21"/>
                                  <w:szCs w:val="21"/>
                                  <w:spacing w:val="-21"/>
                                </w:rPr>
                                <w:t>位，</w:t>
                              </w:r>
                            </w:p>
                          </w:txbxContent>
                        </v:textbox>
                      </v:shape>
                    </w:pict>
                  </w:r>
                  <w:r/>
                </w:p>
              </w:tc>
            </w:tr>
            <w:tr>
              <w:trPr>
                <w:trHeight w:val="395" w:hRule="atLeast"/>
              </w:trPr>
              <w:tc>
                <w:tcPr>
                  <w:tcW w:w="1814" w:type="dxa"/>
                  <w:vAlign w:val="top"/>
                </w:tcPr>
                <w:p>
                  <w:pPr>
                    <w:ind w:left="409"/>
                    <w:spacing w:before="95" w:line="220" w:lineRule="auto"/>
                    <w:rPr>
                      <w:rFonts w:ascii="SimSun" w:hAnsi="SimSun" w:eastAsia="SimSun" w:cs="SimSun"/>
                      <w:sz w:val="21"/>
                      <w:szCs w:val="21"/>
                    </w:rPr>
                  </w:pP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5"/>
                    </w:rPr>
                    <w:t>其中，赞成：</w:t>
                  </w:r>
                </w:p>
              </w:tc>
              <w:tc>
                <w:tcPr>
                  <w:tcW w:w="496" w:type="dxa"/>
                  <w:vAlign w:val="top"/>
                </w:tcPr>
                <w:p>
                  <w:pPr>
                    <w:ind w:left="208"/>
                    <w:spacing w:before="95" w:line="210" w:lineRule="exact"/>
                    <w:rPr>
                      <w:rFonts w:ascii="SimSun" w:hAnsi="SimSun" w:eastAsia="SimSun" w:cs="SimSun"/>
                      <w:sz w:val="15"/>
                      <w:szCs w:val="15"/>
                    </w:rPr>
                  </w:pPr>
                  <w:r>
                    <w:rPr>
                      <w:rFonts w:ascii="SimSun" w:hAnsi="SimSun" w:eastAsia="SimSun" w:cs="SimSun"/>
                      <w:sz w:val="15"/>
                      <w:szCs w:val="15"/>
                      <w:spacing w:val="-9"/>
                      <w:position w:val="1"/>
                    </w:rPr>
                    <w:t>位，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814" w:type="dxa"/>
                  <w:vAlign w:val="top"/>
                </w:tcPr>
                <w:p>
                  <w:pPr>
                    <w:ind w:left="830"/>
                    <w:spacing w:before="90" w:line="220" w:lineRule="auto"/>
                    <w:rPr>
                      <w:rFonts w:ascii="SimSun" w:hAnsi="SimSun" w:eastAsia="SimSun" w:cs="SimSun"/>
                      <w:sz w:val="21"/>
                      <w:szCs w:val="21"/>
                    </w:rPr>
                  </w:pP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2"/>
                    </w:rPr>
                    <w:t>不赞成：</w:t>
                  </w:r>
                </w:p>
              </w:tc>
              <w:tc>
                <w:tcPr>
                  <w:tcW w:w="496" w:type="dxa"/>
                  <w:vAlign w:val="top"/>
                </w:tcPr>
                <w:p>
                  <w:pPr>
                    <w:ind w:left="202"/>
                    <w:spacing w:before="90" w:line="210" w:lineRule="exact"/>
                    <w:rPr>
                      <w:rFonts w:ascii="SimSun" w:hAnsi="SimSun" w:eastAsia="SimSun" w:cs="SimSun"/>
                      <w:sz w:val="15"/>
                      <w:szCs w:val="15"/>
                    </w:rPr>
                  </w:pPr>
                  <w:r>
                    <w:rPr>
                      <w:rFonts w:ascii="SimSun" w:hAnsi="SimSun" w:eastAsia="SimSun" w:cs="SimSun"/>
                      <w:sz w:val="15"/>
                      <w:szCs w:val="15"/>
                      <w:spacing w:val="-6"/>
                      <w:position w:val="1"/>
                    </w:rPr>
                    <w:t>位，</w:t>
                  </w:r>
                </w:p>
              </w:tc>
            </w:tr>
            <w:tr>
              <w:trPr>
                <w:trHeight w:val="299" w:hRule="atLeast"/>
              </w:trPr>
              <w:tc>
                <w:tcPr>
                  <w:tcW w:w="1814" w:type="dxa"/>
                  <w:vAlign w:val="top"/>
                </w:tcPr>
                <w:p>
                  <w:pPr>
                    <w:ind w:left="1049"/>
                    <w:spacing w:before="89" w:line="193" w:lineRule="auto"/>
                    <w:rPr>
                      <w:rFonts w:ascii="SimSun" w:hAnsi="SimSun" w:eastAsia="SimSun" w:cs="SimSun"/>
                      <w:sz w:val="20"/>
                      <w:szCs w:val="20"/>
                    </w:rPr>
                  </w:pPr>
                  <w:r>
                    <w:rPr>
                      <w:rFonts w:ascii="SimSun" w:hAnsi="SimSun" w:eastAsia="SimSun" w:cs="SimSun"/>
                      <w:sz w:val="20"/>
                      <w:szCs w:val="20"/>
                      <w:spacing w:val="4"/>
                    </w:rPr>
                    <w:t>弃权：</w:t>
                  </w:r>
                </w:p>
              </w:tc>
              <w:tc>
                <w:tcPr>
                  <w:tcW w:w="496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>
                    <w:pict>
                      <v:shape id="_x0000_s4" style="position:absolute;margin-left:-16.0412pt;margin-top:3.50592pt;mso-position-vertical-relative:top-margin-area;mso-position-horizontal-relative:right-margin-area;width:22.3pt;height:14.6pt;z-index:251708416;" filled="false" stroked="false" type="#_x0000_t202">
                        <v:fill on="false"/>
                        <v:stroke on="false"/>
                        <v:path/>
                        <v:imagedata o:title=""/>
                        <o:lock v:ext="edit" aspectratio="false"/>
                        <v:textbox inset="0mm,0mm,0mm,0mm">
                          <w:txbxContent>
                            <w:p>
                              <w:pPr>
                                <w:ind w:left="20"/>
                                <w:spacing w:before="19" w:line="221" w:lineRule="auto"/>
                                <w:rPr>
                                  <w:rFonts w:ascii="SimSun" w:hAnsi="SimSun" w:eastAsia="SimSun" w:cs="SimSu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SimSun" w:hAnsi="SimSun" w:eastAsia="SimSun" w:cs="SimSun"/>
                                  <w:sz w:val="21"/>
                                  <w:szCs w:val="21"/>
                                  <w:spacing w:val="-4"/>
                                </w:rPr>
                                <w:t>位。</w:t>
                              </w:r>
                            </w:p>
                          </w:txbxContent>
                        </v:textbox>
                      </v:shape>
                    </w:pict>
                  </w:r>
                  <w:r/>
                </w:p>
              </w:tc>
            </w:tr>
          </w:tbl>
          <w:p>
            <w:pPr>
              <w:spacing w:line="115" w:lineRule="exact"/>
              <w:rPr>
                <w:rFonts w:ascii="Arial"/>
                <w:sz w:val="10"/>
              </w:rPr>
            </w:pPr>
            <w:r/>
          </w:p>
        </w:tc>
      </w:tr>
      <w:tr>
        <w:trPr>
          <w:trHeight w:val="3517" w:hRule="atLeast"/>
        </w:trPr>
        <w:tc>
          <w:tcPr>
            <w:tcW w:w="8240" w:type="dxa"/>
            <w:vAlign w:val="top"/>
            <w:gridSpan w:val="5"/>
          </w:tcPr>
          <w:p>
            <w:pPr>
              <w:ind w:left="4"/>
              <w:spacing w:before="194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0"/>
              </w:rPr>
              <w:t>评审意见：</w:t>
            </w:r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4"/>
              <w:spacing w:before="68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0"/>
              </w:rPr>
              <w:t>评审结论：</w:t>
            </w:r>
          </w:p>
          <w:p>
            <w:pPr>
              <w:ind w:left="424"/>
              <w:spacing w:before="149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经评审小组成员协商，建议标准：□立项；</w:t>
            </w:r>
          </w:p>
          <w:p>
            <w:pPr>
              <w:ind w:left="3614"/>
              <w:spacing w:before="149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1"/>
              </w:rPr>
              <w:t>□不立项。</w:t>
            </w:r>
          </w:p>
          <w:p>
            <w:pPr>
              <w:ind w:left="3775"/>
              <w:spacing w:before="160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评审小组组长(签名):</w:t>
            </w:r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5494"/>
              <w:spacing w:before="6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年</w:t>
            </w:r>
            <w:r>
              <w:rPr>
                <w:rFonts w:ascii="SimSun" w:hAnsi="SimSun" w:eastAsia="SimSun" w:cs="SimSun"/>
                <w:sz w:val="21"/>
                <w:szCs w:val="21"/>
                <w:spacing w:val="12"/>
              </w:rPr>
              <w:t xml:space="preserve">   </w:t>
            </w: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月</w:t>
            </w:r>
            <w:r>
              <w:rPr>
                <w:rFonts w:ascii="SimSun" w:hAnsi="SimSun" w:eastAsia="SimSun" w:cs="SimSun"/>
                <w:sz w:val="21"/>
                <w:szCs w:val="21"/>
                <w:spacing w:val="23"/>
              </w:rPr>
              <w:t xml:space="preserve">   </w:t>
            </w: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日</w:t>
            </w:r>
          </w:p>
        </w:tc>
      </w:tr>
      <w:tr>
        <w:trPr>
          <w:trHeight w:val="580" w:hRule="atLeast"/>
        </w:trPr>
        <w:tc>
          <w:tcPr>
            <w:tcW w:w="8240" w:type="dxa"/>
            <w:vAlign w:val="top"/>
            <w:gridSpan w:val="5"/>
          </w:tcPr>
          <w:p>
            <w:pPr>
              <w:ind w:left="3185"/>
              <w:spacing w:before="198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评审小组成员名单：</w:t>
            </w:r>
          </w:p>
        </w:tc>
      </w:tr>
      <w:tr>
        <w:trPr>
          <w:trHeight w:val="510" w:hRule="atLeast"/>
        </w:trPr>
        <w:tc>
          <w:tcPr>
            <w:tcW w:w="794" w:type="dxa"/>
            <w:vAlign w:val="top"/>
          </w:tcPr>
          <w:p>
            <w:pPr>
              <w:ind w:left="174"/>
              <w:spacing w:before="15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序号</w:t>
            </w:r>
          </w:p>
        </w:tc>
        <w:tc>
          <w:tcPr>
            <w:tcW w:w="1388" w:type="dxa"/>
            <w:vAlign w:val="top"/>
            <w:gridSpan w:val="2"/>
          </w:tcPr>
          <w:p>
            <w:pPr>
              <w:ind w:left="470"/>
              <w:spacing w:before="157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3"/>
              </w:rPr>
              <w:t>姓名</w:t>
            </w:r>
          </w:p>
        </w:tc>
        <w:tc>
          <w:tcPr>
            <w:tcW w:w="4355" w:type="dxa"/>
            <w:vAlign w:val="top"/>
          </w:tcPr>
          <w:p>
            <w:pPr>
              <w:ind w:left="1643"/>
              <w:spacing w:before="158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单位及职位</w:t>
            </w:r>
          </w:p>
        </w:tc>
        <w:tc>
          <w:tcPr>
            <w:tcW w:w="1703" w:type="dxa"/>
            <w:vAlign w:val="top"/>
          </w:tcPr>
          <w:p>
            <w:pPr>
              <w:ind w:left="637"/>
              <w:spacing w:before="16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电话</w:t>
            </w:r>
          </w:p>
        </w:tc>
      </w:tr>
      <w:tr>
        <w:trPr>
          <w:trHeight w:val="429" w:hRule="atLeast"/>
        </w:trPr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0" w:hRule="atLeast"/>
        </w:trPr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0" w:hRule="atLeast"/>
        </w:trPr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0" w:hRule="atLeast"/>
        </w:trPr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0" w:hRule="atLeast"/>
        </w:trPr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0" w:hRule="atLeast"/>
        </w:trPr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4" w:hRule="atLeast"/>
        </w:trPr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30"/>
          <w:pgMar w:top="400" w:right="1398" w:bottom="0" w:left="1604" w:header="0" w:footer="0" w:gutter="0"/>
        </w:sectPr>
        <w:rPr/>
      </w:pPr>
    </w:p>
    <w:p>
      <w:pPr>
        <w:spacing w:line="271" w:lineRule="auto"/>
        <w:rPr>
          <w:rFonts w:ascii="Arial"/>
          <w:sz w:val="21"/>
        </w:rPr>
      </w:pPr>
      <w:r>
        <w:drawing>
          <wp:anchor distT="0" distB="0" distL="0" distR="0" simplePos="0" relativeHeight="251715584" behindDoc="0" locked="0" layoutInCell="0" allowOverlap="1">
            <wp:simplePos x="0" y="0"/>
            <wp:positionH relativeFrom="page">
              <wp:posOffset>1003277</wp:posOffset>
            </wp:positionH>
            <wp:positionV relativeFrom="page">
              <wp:posOffset>9023374</wp:posOffset>
            </wp:positionV>
            <wp:extent cx="5810268" cy="6350"/>
            <wp:effectExtent l="0" t="0" r="0" b="0"/>
            <wp:wrapNone/>
            <wp:docPr id="9" name="IM 9"/>
            <wp:cNvGraphicFramePr/>
            <a:graphic>
              <a:graphicData uri="http://schemas.openxmlformats.org/drawingml/2006/picture">
                <pic:pic>
                  <pic:nvPicPr>
                    <pic:cNvPr id="9" name="IM 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10268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ind w:left="23"/>
        <w:spacing w:before="91" w:line="225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17"/>
        </w:rPr>
        <w:t>附</w:t>
      </w:r>
      <w:r>
        <w:rPr>
          <w:rFonts w:ascii="SimHei" w:hAnsi="SimHei" w:eastAsia="SimHei" w:cs="SimHei"/>
          <w:sz w:val="28"/>
          <w:szCs w:val="28"/>
          <w:spacing w:val="14"/>
        </w:rPr>
        <w:t xml:space="preserve"> </w:t>
      </w:r>
      <w:r>
        <w:rPr>
          <w:rFonts w:ascii="SimHei" w:hAnsi="SimHei" w:eastAsia="SimHei" w:cs="SimHei"/>
          <w:sz w:val="28"/>
          <w:szCs w:val="28"/>
          <w:b/>
          <w:bCs/>
          <w:spacing w:val="-17"/>
        </w:rPr>
        <w:t>3</w:t>
      </w:r>
    </w:p>
    <w:p>
      <w:pPr>
        <w:ind w:left="240"/>
        <w:spacing w:before="276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5"/>
        </w:rPr>
        <w:t>ICS</w:t>
      </w:r>
      <w:r>
        <w:rPr>
          <w:rFonts w:ascii="SimSun" w:hAnsi="SimSun" w:eastAsia="SimSun" w:cs="SimSun"/>
          <w:sz w:val="21"/>
          <w:szCs w:val="21"/>
          <w:spacing w:val="-4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号</w:t>
      </w:r>
    </w:p>
    <w:p>
      <w:pPr>
        <w:ind w:left="240"/>
        <w:spacing w:before="227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中国标准文献分类号</w:t>
      </w:r>
    </w:p>
    <w:p>
      <w:pPr>
        <w:ind w:left="3572"/>
        <w:spacing w:before="267" w:line="220" w:lineRule="auto"/>
        <w:rPr>
          <w:rFonts w:ascii="SimSun" w:hAnsi="SimSun" w:eastAsia="SimSun" w:cs="SimSun"/>
          <w:sz w:val="86"/>
          <w:szCs w:val="86"/>
        </w:rPr>
      </w:pPr>
      <w:r>
        <w:rPr>
          <w:rFonts w:ascii="SimSun" w:hAnsi="SimSun" w:eastAsia="SimSun" w:cs="SimSun"/>
          <w:sz w:val="86"/>
          <w:szCs w:val="86"/>
          <w:b/>
          <w:bCs/>
          <w:spacing w:val="-33"/>
        </w:rPr>
        <w:t>体</w:t>
      </w:r>
      <w:r>
        <w:rPr>
          <w:rFonts w:ascii="SimSun" w:hAnsi="SimSun" w:eastAsia="SimSun" w:cs="SimSun"/>
          <w:sz w:val="86"/>
          <w:szCs w:val="86"/>
          <w:spacing w:val="171"/>
        </w:rPr>
        <w:t xml:space="preserve">  </w:t>
      </w:r>
      <w:r>
        <w:rPr>
          <w:rFonts w:ascii="SimSun" w:hAnsi="SimSun" w:eastAsia="SimSun" w:cs="SimSun"/>
          <w:sz w:val="86"/>
          <w:szCs w:val="86"/>
          <w:b/>
          <w:bCs/>
          <w:spacing w:val="-33"/>
        </w:rPr>
        <w:t>标</w:t>
      </w:r>
      <w:r>
        <w:rPr>
          <w:rFonts w:ascii="SimSun" w:hAnsi="SimSun" w:eastAsia="SimSun" w:cs="SimSun"/>
          <w:sz w:val="86"/>
          <w:szCs w:val="86"/>
          <w:spacing w:val="209"/>
        </w:rPr>
        <w:t xml:space="preserve">  </w:t>
      </w:r>
      <w:r>
        <w:rPr>
          <w:rFonts w:ascii="SimSun" w:hAnsi="SimSun" w:eastAsia="SimSun" w:cs="SimSun"/>
          <w:sz w:val="86"/>
          <w:szCs w:val="86"/>
          <w:b/>
          <w:bCs/>
          <w:spacing w:val="-33"/>
        </w:rPr>
        <w:t>准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ind w:left="6790"/>
        <w:spacing w:before="61" w:line="19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T/XYZX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XXXX-XXXX</w:t>
      </w:r>
    </w:p>
    <w:p>
      <w:pPr>
        <w:ind w:left="6259"/>
        <w:spacing w:before="306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代替</w:t>
      </w:r>
      <w:r>
        <w:rPr>
          <w:rFonts w:ascii="SimSun" w:hAnsi="SimSun" w:eastAsia="SimSun" w:cs="SimSun"/>
          <w:sz w:val="21"/>
          <w:szCs w:val="21"/>
          <w:spacing w:val="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T/XYZX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     </w:t>
      </w:r>
      <w:r>
        <w:rPr>
          <w:rFonts w:ascii="SimSun" w:hAnsi="SimSun" w:eastAsia="SimSun" w:cs="SimSun"/>
          <w:sz w:val="21"/>
          <w:szCs w:val="21"/>
          <w:spacing w:val="-2"/>
        </w:rPr>
        <w:t>XXXX-XXXX</w:t>
      </w:r>
    </w:p>
    <w:p>
      <w:pPr>
        <w:spacing w:line="469" w:lineRule="auto"/>
        <w:rPr>
          <w:rFonts w:ascii="Arial"/>
          <w:sz w:val="21"/>
        </w:rPr>
      </w:pPr>
      <w:r/>
    </w:p>
    <w:p>
      <w:pPr>
        <w:ind w:firstLine="39"/>
        <w:spacing w:line="20" w:lineRule="exact"/>
        <w:textAlignment w:val="center"/>
        <w:rPr/>
      </w:pPr>
      <w:r>
        <w:drawing>
          <wp:inline distT="0" distB="0" distL="0" distR="0">
            <wp:extent cx="6102403" cy="12717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02403" cy="12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ind w:left="3506"/>
        <w:spacing w:before="157" w:line="655" w:lineRule="exact"/>
        <w:rPr>
          <w:rFonts w:ascii="SimSun" w:hAnsi="SimSun" w:eastAsia="SimSun" w:cs="SimSun"/>
          <w:sz w:val="48"/>
          <w:szCs w:val="48"/>
        </w:rPr>
      </w:pPr>
      <w:r>
        <w:rPr>
          <w:rFonts w:ascii="SimSun" w:hAnsi="SimSun" w:eastAsia="SimSun" w:cs="SimSun"/>
          <w:sz w:val="48"/>
          <w:szCs w:val="48"/>
          <w:b/>
          <w:bCs/>
          <w:spacing w:val="-9"/>
          <w:position w:val="11"/>
        </w:rPr>
        <w:t>标准名称</w:t>
      </w:r>
    </w:p>
    <w:p>
      <w:pPr>
        <w:ind w:left="3375"/>
        <w:spacing w:before="1" w:line="219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b/>
          <w:bCs/>
          <w:spacing w:val="-3"/>
        </w:rPr>
        <w:t>标准英文译名</w: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100" w:lineRule="auto"/>
        <w:rPr>
          <w:rFonts w:ascii="Arial"/>
          <w:sz w:val="2"/>
        </w:rPr>
      </w:pPr>
      <w:r>
        <w:rPr>
          <w:rFonts w:ascii="Arial"/>
          <w:sz w:val="2"/>
        </w:rPr>
      </w:r>
    </w:p>
    <w:p>
      <w:pPr>
        <w:sectPr>
          <w:pgSz w:w="11900" w:h="16830"/>
          <w:pgMar w:top="400" w:right="669" w:bottom="0" w:left="1579" w:header="0" w:footer="0" w:gutter="0"/>
          <w:cols w:equalWidth="0" w:num="1">
            <w:col w:w="9651" w:space="0"/>
          </w:cols>
        </w:sectPr>
        <w:rPr/>
      </w:pPr>
    </w:p>
    <w:p>
      <w:pPr>
        <w:ind w:left="9"/>
        <w:spacing w:before="73" w:line="189" w:lineRule="auto"/>
        <w:rPr>
          <w:rFonts w:ascii="FangSong" w:hAnsi="FangSong" w:eastAsia="FangSong" w:cs="FangSong"/>
          <w:sz w:val="36"/>
          <w:szCs w:val="36"/>
        </w:rPr>
      </w:pPr>
      <w:r>
        <w:rPr>
          <w:rFonts w:ascii="Times New Roman" w:hAnsi="Times New Roman" w:eastAsia="Times New Roman" w:cs="Times New Roman"/>
          <w:sz w:val="36"/>
          <w:szCs w:val="36"/>
          <w:b/>
          <w:bCs/>
          <w:spacing w:val="-10"/>
          <w:w w:val="77"/>
        </w:rPr>
        <w:t>XXXX-XX-XX</w:t>
      </w:r>
      <w:r>
        <w:rPr>
          <w:rFonts w:ascii="FangSong" w:hAnsi="FangSong" w:eastAsia="FangSong" w:cs="FangSong"/>
          <w:sz w:val="36"/>
          <w:szCs w:val="36"/>
          <w:b/>
          <w:bCs/>
          <w:spacing w:val="-10"/>
          <w:w w:val="77"/>
        </w:rPr>
        <w:t>发</w:t>
      </w:r>
      <w:r>
        <w:rPr>
          <w:rFonts w:ascii="FangSong" w:hAnsi="FangSong" w:eastAsia="FangSong" w:cs="FangSong"/>
          <w:sz w:val="36"/>
          <w:szCs w:val="36"/>
          <w:spacing w:val="-10"/>
          <w:w w:val="77"/>
        </w:rPr>
        <w:t>布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5" w:line="187" w:lineRule="auto"/>
        <w:rPr>
          <w:rFonts w:ascii="SimSun" w:hAnsi="SimSun" w:eastAsia="SimSun" w:cs="SimSun"/>
          <w:sz w:val="36"/>
          <w:szCs w:val="36"/>
        </w:rPr>
      </w:pPr>
      <w:r>
        <w:rPr>
          <w:rFonts w:ascii="Times New Roman" w:hAnsi="Times New Roman" w:eastAsia="Times New Roman" w:cs="Times New Roman"/>
          <w:sz w:val="36"/>
          <w:szCs w:val="36"/>
          <w:b/>
          <w:bCs/>
          <w:spacing w:val="-8"/>
          <w:w w:val="76"/>
        </w:rPr>
        <w:t>XXXX-XX-XX</w:t>
      </w:r>
      <w:r>
        <w:rPr>
          <w:rFonts w:ascii="SimSun" w:hAnsi="SimSun" w:eastAsia="SimSun" w:cs="SimSun"/>
          <w:sz w:val="36"/>
          <w:szCs w:val="36"/>
          <w:b/>
          <w:bCs/>
          <w:spacing w:val="-8"/>
          <w:w w:val="76"/>
        </w:rPr>
        <w:t>实</w:t>
      </w:r>
      <w:r>
        <w:rPr>
          <w:rFonts w:ascii="SimSun" w:hAnsi="SimSun" w:eastAsia="SimSun" w:cs="SimSun"/>
          <w:sz w:val="36"/>
          <w:szCs w:val="36"/>
          <w:spacing w:val="-8"/>
          <w:w w:val="76"/>
        </w:rPr>
        <w:t>施</w:t>
      </w:r>
    </w:p>
    <w:p>
      <w:pPr>
        <w:sectPr>
          <w:type w:val="continuous"/>
          <w:pgSz w:w="11900" w:h="16830"/>
          <w:pgMar w:top="400" w:right="669" w:bottom="0" w:left="1579" w:header="0" w:footer="0" w:gutter="0"/>
          <w:cols w:equalWidth="0" w:num="2">
            <w:col w:w="6851" w:space="100"/>
            <w:col w:w="2700" w:space="0"/>
          </w:cols>
        </w:sectPr>
        <w:rPr/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1833"/>
        <w:spacing w:before="92" w:line="184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24"/>
        </w:rPr>
        <w:t>襄阳市建设工程咨询服务行业协会发布</w:t>
      </w:r>
    </w:p>
    <w:p>
      <w:pPr>
        <w:sectPr>
          <w:type w:val="continuous"/>
          <w:pgSz w:w="11900" w:h="16830"/>
          <w:pgMar w:top="400" w:right="669" w:bottom="0" w:left="1579" w:header="0" w:footer="0" w:gutter="0"/>
          <w:cols w:equalWidth="0" w:num="1">
            <w:col w:w="9651" w:space="0"/>
          </w:cols>
        </w:sectPr>
        <w:rPr/>
      </w:pP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ind w:left="4"/>
        <w:spacing w:before="91" w:line="225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12"/>
          <w:w w:val="98"/>
        </w:rPr>
        <w:t>附</w:t>
      </w:r>
      <w:r>
        <w:rPr>
          <w:rFonts w:ascii="SimHei" w:hAnsi="SimHei" w:eastAsia="SimHei" w:cs="SimHei"/>
          <w:sz w:val="28"/>
          <w:szCs w:val="28"/>
          <w:spacing w:val="37"/>
        </w:rPr>
        <w:t xml:space="preserve"> </w:t>
      </w:r>
      <w:r>
        <w:rPr>
          <w:rFonts w:ascii="SimHei" w:hAnsi="SimHei" w:eastAsia="SimHei" w:cs="SimHei"/>
          <w:sz w:val="28"/>
          <w:szCs w:val="28"/>
          <w:b/>
          <w:bCs/>
          <w:spacing w:val="-12"/>
          <w:w w:val="98"/>
        </w:rPr>
        <w:t>4</w:t>
      </w:r>
    </w:p>
    <w:p>
      <w:pPr>
        <w:ind w:left="1335"/>
        <w:spacing w:before="156" w:line="219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b/>
          <w:bCs/>
          <w:spacing w:val="-5"/>
        </w:rPr>
        <w:t>《征求意见稿/送审稿/报批稿》编制说明</w:t>
      </w:r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ind w:left="410"/>
        <w:spacing w:before="68" w:line="222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</w:rPr>
        <w:t>编制说明主要包含但不限于以下内容：</w:t>
      </w:r>
    </w:p>
    <w:p>
      <w:pPr>
        <w:ind w:left="410"/>
        <w:spacing w:before="149" w:line="222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2"/>
        </w:rPr>
        <w:t>一、征求意见稿</w:t>
      </w:r>
    </w:p>
    <w:p>
      <w:pPr>
        <w:ind w:left="410"/>
        <w:spacing w:before="154" w:line="400" w:lineRule="exact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2"/>
          <w:position w:val="14"/>
        </w:rPr>
        <w:t>1.工作简况，包括任务来源、协作单位、主要工作过程、中评协团体标准主要起草人及其所做</w:t>
      </w:r>
    </w:p>
    <w:p>
      <w:pPr>
        <w:spacing w:line="220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6"/>
        </w:rPr>
        <w:t>的工作等；</w:t>
      </w:r>
    </w:p>
    <w:p>
      <w:pPr>
        <w:ind w:left="410"/>
        <w:spacing w:before="150" w:line="402" w:lineRule="exact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8"/>
          <w:position w:val="14"/>
        </w:rPr>
        <w:t>2.确定标准主要技术内容(如技术指标、参数、公式、性能要求、实验方法、检验规则等)的</w:t>
      </w:r>
    </w:p>
    <w:p>
      <w:pPr>
        <w:spacing w:before="1" w:line="222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10"/>
        </w:rPr>
        <w:t>论据(包括试验、统计数据),修订团体标准时，应增加新、旧团体标准水平的对比；</w:t>
      </w:r>
    </w:p>
    <w:p>
      <w:pPr>
        <w:ind w:left="410"/>
        <w:spacing w:before="145" w:line="221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9"/>
        </w:rPr>
        <w:t>3.主要试验(验证)的分析、综述报告，技术经济</w:t>
      </w:r>
      <w:r>
        <w:rPr>
          <w:rFonts w:ascii="FangSong" w:hAnsi="FangSong" w:eastAsia="FangSong" w:cs="FangSong"/>
          <w:sz w:val="21"/>
          <w:szCs w:val="21"/>
          <w:spacing w:val="8"/>
        </w:rPr>
        <w:t>论证，预期的经济效果；</w:t>
      </w:r>
    </w:p>
    <w:p>
      <w:pPr>
        <w:ind w:left="410"/>
        <w:spacing w:before="149" w:line="221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1"/>
        </w:rPr>
        <w:t>4.采用国际标准的程度及水平的简要说明；</w:t>
      </w:r>
    </w:p>
    <w:p>
      <w:pPr>
        <w:ind w:left="410"/>
        <w:spacing w:before="149" w:line="222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2"/>
        </w:rPr>
        <w:t>5.其他应予说明的事项。</w:t>
      </w:r>
    </w:p>
    <w:p>
      <w:pPr>
        <w:ind w:left="410"/>
        <w:spacing w:before="159" w:line="222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8"/>
        </w:rPr>
        <w:t>二、</w:t>
      </w:r>
      <w:r>
        <w:rPr>
          <w:rFonts w:ascii="FangSong" w:hAnsi="FangSong" w:eastAsia="FangSong" w:cs="FangSong"/>
          <w:sz w:val="21"/>
          <w:szCs w:val="21"/>
          <w:spacing w:val="-49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8"/>
        </w:rPr>
        <w:t>送审稿</w:t>
      </w:r>
    </w:p>
    <w:p>
      <w:pPr>
        <w:ind w:left="410"/>
        <w:spacing w:before="147" w:line="222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2"/>
        </w:rPr>
        <w:t>1.征求意见汇总描述；</w:t>
      </w:r>
    </w:p>
    <w:p>
      <w:pPr>
        <w:ind w:left="410"/>
        <w:spacing w:before="148" w:line="222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</w:rPr>
        <w:t>2.重大分歧意见的处理经过和依据；</w:t>
      </w:r>
    </w:p>
    <w:p>
      <w:pPr>
        <w:ind w:left="410"/>
        <w:spacing w:before="146" w:line="222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2"/>
        </w:rPr>
        <w:t>3.其他应予说明的事项。</w:t>
      </w:r>
    </w:p>
    <w:p>
      <w:pPr>
        <w:ind w:left="410"/>
        <w:spacing w:before="149" w:line="222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8"/>
        </w:rPr>
        <w:t>三、</w:t>
      </w:r>
      <w:r>
        <w:rPr>
          <w:rFonts w:ascii="FangSong" w:hAnsi="FangSong" w:eastAsia="FangSong" w:cs="FangSong"/>
          <w:sz w:val="21"/>
          <w:szCs w:val="21"/>
          <w:spacing w:val="-49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8"/>
        </w:rPr>
        <w:t>报批稿</w:t>
      </w:r>
    </w:p>
    <w:p>
      <w:pPr>
        <w:ind w:left="410"/>
        <w:spacing w:before="147" w:line="222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1"/>
        </w:rPr>
        <w:t>1.建设审查过程与总体意见描述；</w:t>
      </w:r>
    </w:p>
    <w:p>
      <w:pPr>
        <w:ind w:left="410"/>
        <w:spacing w:before="148" w:line="222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</w:rPr>
        <w:t>2.技术审查意见的处理和依据；</w:t>
      </w:r>
    </w:p>
    <w:p>
      <w:pPr>
        <w:ind w:left="410"/>
        <w:spacing w:before="147" w:line="222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9"/>
        </w:rPr>
        <w:t>3.贯彻标准的要求和措施建议(包括组织措施、技术措施、过渡办法等内容);</w:t>
      </w:r>
    </w:p>
    <w:p>
      <w:pPr>
        <w:ind w:left="410"/>
        <w:spacing w:before="146" w:line="222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2"/>
        </w:rPr>
        <w:t>4.其他应予说明的事项。</w:t>
      </w:r>
    </w:p>
    <w:p>
      <w:pPr>
        <w:sectPr>
          <w:pgSz w:w="11900" w:h="16830"/>
          <w:pgMar w:top="400" w:right="1159" w:bottom="0" w:left="1579" w:header="0" w:footer="0" w:gutter="0"/>
        </w:sectPr>
        <w:rPr/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ind w:left="258"/>
        <w:spacing w:before="85" w:line="225" w:lineRule="auto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sz w:val="26"/>
          <w:szCs w:val="26"/>
          <w:b/>
          <w:bCs/>
          <w:spacing w:val="-15"/>
        </w:rPr>
        <w:t>附</w:t>
      </w:r>
      <w:r>
        <w:rPr>
          <w:rFonts w:ascii="SimHei" w:hAnsi="SimHei" w:eastAsia="SimHei" w:cs="SimHei"/>
          <w:sz w:val="26"/>
          <w:szCs w:val="26"/>
          <w:spacing w:val="75"/>
        </w:rPr>
        <w:t xml:space="preserve"> </w:t>
      </w:r>
      <w:r>
        <w:rPr>
          <w:rFonts w:ascii="SimHei" w:hAnsi="SimHei" w:eastAsia="SimHei" w:cs="SimHei"/>
          <w:sz w:val="26"/>
          <w:szCs w:val="26"/>
          <w:b/>
          <w:bCs/>
          <w:spacing w:val="-15"/>
        </w:rPr>
        <w:t>5</w:t>
      </w:r>
    </w:p>
    <w:p>
      <w:pPr>
        <w:ind w:left="2110"/>
        <w:spacing w:before="149" w:line="219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b/>
          <w:bCs/>
          <w:spacing w:val="-8"/>
        </w:rPr>
        <w:t>襄阳市建设工程咨询服务行业协会团体标准征求意见汇总处理表</w:t>
      </w:r>
    </w:p>
    <w:p>
      <w:pPr>
        <w:ind w:left="244"/>
        <w:spacing w:before="129" w:line="223" w:lineRule="auto"/>
        <w:rPr>
          <w:rFonts w:ascii="SimSun" w:hAnsi="SimSun" w:eastAsia="SimSun" w:cs="SimSun"/>
          <w:sz w:val="27"/>
          <w:szCs w:val="27"/>
        </w:rPr>
      </w:pPr>
      <w:r>
        <w:rPr>
          <w:rFonts w:ascii="FangSong" w:hAnsi="FangSong" w:eastAsia="FangSong" w:cs="FangSong"/>
          <w:sz w:val="26"/>
          <w:szCs w:val="26"/>
          <w:spacing w:val="-37"/>
          <w:position w:val="1"/>
        </w:rPr>
        <w:t>标准名称：</w:t>
      </w:r>
      <w:r>
        <w:rPr>
          <w:rFonts w:ascii="FangSong" w:hAnsi="FangSong" w:eastAsia="FangSong" w:cs="FangSong"/>
          <w:sz w:val="26"/>
          <w:szCs w:val="26"/>
          <w:spacing w:val="3"/>
          <w:position w:val="1"/>
        </w:rPr>
        <w:t xml:space="preserve">                </w:t>
      </w:r>
      <w:r>
        <w:rPr>
          <w:rFonts w:ascii="FangSong" w:hAnsi="FangSong" w:eastAsia="FangSong" w:cs="FangSong"/>
          <w:sz w:val="26"/>
          <w:szCs w:val="26"/>
          <w:spacing w:val="-37"/>
          <w:position w:val="1"/>
        </w:rPr>
        <w:t>申请单位：</w:t>
      </w:r>
      <w:r>
        <w:rPr>
          <w:rFonts w:ascii="FangSong" w:hAnsi="FangSong" w:eastAsia="FangSong" w:cs="FangSong"/>
          <w:sz w:val="26"/>
          <w:szCs w:val="26"/>
          <w:spacing w:val="6"/>
          <w:position w:val="1"/>
        </w:rPr>
        <w:t xml:space="preserve">                </w:t>
      </w:r>
      <w:r>
        <w:rPr>
          <w:rFonts w:ascii="FangSong" w:hAnsi="FangSong" w:eastAsia="FangSong" w:cs="FangSong"/>
          <w:sz w:val="26"/>
          <w:szCs w:val="26"/>
          <w:spacing w:val="-37"/>
        </w:rPr>
        <w:t>承办人：</w:t>
      </w:r>
      <w:r>
        <w:rPr>
          <w:rFonts w:ascii="FangSong" w:hAnsi="FangSong" w:eastAsia="FangSong" w:cs="FangSong"/>
          <w:sz w:val="26"/>
          <w:szCs w:val="26"/>
          <w:spacing w:val="7"/>
        </w:rPr>
        <w:t xml:space="preserve">                 </w:t>
      </w:r>
      <w:r>
        <w:rPr>
          <w:rFonts w:ascii="FangSong" w:hAnsi="FangSong" w:eastAsia="FangSong" w:cs="FangSong"/>
          <w:sz w:val="26"/>
          <w:szCs w:val="26"/>
          <w:spacing w:val="-37"/>
        </w:rPr>
        <w:t>电话：</w:t>
      </w:r>
      <w:r>
        <w:rPr>
          <w:rFonts w:ascii="FangSong" w:hAnsi="FangSong" w:eastAsia="FangSong" w:cs="FangSong"/>
          <w:sz w:val="26"/>
          <w:szCs w:val="26"/>
          <w:spacing w:val="3"/>
        </w:rPr>
        <w:t xml:space="preserve">                  </w:t>
      </w:r>
      <w:r>
        <w:rPr>
          <w:rFonts w:ascii="SimSun" w:hAnsi="SimSun" w:eastAsia="SimSun" w:cs="SimSun"/>
          <w:sz w:val="27"/>
          <w:szCs w:val="27"/>
          <w:spacing w:val="-37"/>
          <w:position w:val="-3"/>
        </w:rPr>
        <w:t>年月</w:t>
      </w:r>
      <w:r>
        <w:rPr>
          <w:rFonts w:ascii="SimSun" w:hAnsi="SimSun" w:eastAsia="SimSun" w:cs="SimSun"/>
          <w:sz w:val="27"/>
          <w:szCs w:val="27"/>
          <w:spacing w:val="58"/>
          <w:position w:val="-3"/>
        </w:rPr>
        <w:t xml:space="preserve">  </w:t>
      </w:r>
      <w:r>
        <w:rPr>
          <w:rFonts w:ascii="SimSun" w:hAnsi="SimSun" w:eastAsia="SimSun" w:cs="SimSun"/>
          <w:sz w:val="27"/>
          <w:szCs w:val="27"/>
          <w:spacing w:val="-37"/>
          <w:position w:val="-3"/>
        </w:rPr>
        <w:t>日</w:t>
      </w:r>
    </w:p>
    <w:p>
      <w:pPr>
        <w:spacing w:line="83" w:lineRule="exact"/>
        <w:rPr/>
      </w:pPr>
      <w:r/>
    </w:p>
    <w:tbl>
      <w:tblPr>
        <w:tblStyle w:val="2"/>
        <w:tblW w:w="1448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64"/>
        <w:gridCol w:w="2268"/>
        <w:gridCol w:w="327"/>
        <w:gridCol w:w="1932"/>
        <w:gridCol w:w="3490"/>
        <w:gridCol w:w="1617"/>
        <w:gridCol w:w="2798"/>
        <w:gridCol w:w="1184"/>
      </w:tblGrid>
      <w:tr>
        <w:trPr>
          <w:trHeight w:val="794" w:hRule="atLeast"/>
        </w:trPr>
        <w:tc>
          <w:tcPr>
            <w:tcW w:w="864" w:type="dxa"/>
            <w:vAlign w:val="top"/>
          </w:tcPr>
          <w:p>
            <w:pPr>
              <w:ind w:left="5"/>
              <w:spacing w:before="285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序号</w:t>
            </w:r>
          </w:p>
        </w:tc>
        <w:tc>
          <w:tcPr>
            <w:tcW w:w="2268" w:type="dxa"/>
            <w:vAlign w:val="top"/>
          </w:tcPr>
          <w:p>
            <w:pPr>
              <w:ind w:left="430"/>
              <w:spacing w:before="283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标准章条编号</w:t>
            </w:r>
          </w:p>
        </w:tc>
        <w:tc>
          <w:tcPr>
            <w:tcW w:w="2259" w:type="dxa"/>
            <w:vAlign w:val="top"/>
            <w:gridSpan w:val="2"/>
          </w:tcPr>
          <w:p>
            <w:pPr>
              <w:ind w:left="663"/>
              <w:spacing w:before="284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意见内容</w:t>
            </w:r>
          </w:p>
        </w:tc>
        <w:tc>
          <w:tcPr>
            <w:tcW w:w="5107" w:type="dxa"/>
            <w:vAlign w:val="top"/>
            <w:gridSpan w:val="2"/>
          </w:tcPr>
          <w:p>
            <w:pPr>
              <w:ind w:left="2084"/>
              <w:spacing w:before="285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提出单位</w:t>
            </w:r>
          </w:p>
        </w:tc>
        <w:tc>
          <w:tcPr>
            <w:tcW w:w="2798" w:type="dxa"/>
            <w:vAlign w:val="top"/>
          </w:tcPr>
          <w:p>
            <w:pPr>
              <w:ind w:left="477"/>
              <w:spacing w:before="284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处理意见</w:t>
            </w:r>
          </w:p>
        </w:tc>
        <w:tc>
          <w:tcPr>
            <w:tcW w:w="1184" w:type="dxa"/>
            <w:vAlign w:val="top"/>
          </w:tcPr>
          <w:p>
            <w:pPr>
              <w:ind w:left="549"/>
              <w:spacing w:before="285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备注</w:t>
            </w:r>
          </w:p>
        </w:tc>
      </w:tr>
      <w:tr>
        <w:trPr>
          <w:trHeight w:val="499" w:hRule="atLeast"/>
        </w:trPr>
        <w:tc>
          <w:tcPr>
            <w:tcW w:w="864" w:type="dxa"/>
            <w:vAlign w:val="top"/>
          </w:tcPr>
          <w:p>
            <w:pPr>
              <w:ind w:left="504"/>
              <w:spacing w:before="238" w:line="18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1</w:t>
            </w:r>
          </w:p>
        </w:tc>
        <w:tc>
          <w:tcPr>
            <w:tcW w:w="2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98" w:type="dxa"/>
            <w:vAlign w:val="top"/>
          </w:tcPr>
          <w:p>
            <w:pPr>
              <w:ind w:left="176"/>
              <w:spacing w:before="139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采纳/部分采纳/未采纳</w:t>
            </w:r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864" w:type="dxa"/>
            <w:vAlign w:val="top"/>
          </w:tcPr>
          <w:p>
            <w:pPr>
              <w:ind w:left="504"/>
              <w:spacing w:before="170" w:line="18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2</w:t>
            </w:r>
          </w:p>
        </w:tc>
        <w:tc>
          <w:tcPr>
            <w:tcW w:w="2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9" w:hRule="atLeast"/>
        </w:trPr>
        <w:tc>
          <w:tcPr>
            <w:tcW w:w="864" w:type="dxa"/>
            <w:vAlign w:val="top"/>
          </w:tcPr>
          <w:p>
            <w:pPr>
              <w:ind w:left="504"/>
              <w:spacing w:before="161" w:line="18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3</w:t>
            </w:r>
          </w:p>
        </w:tc>
        <w:tc>
          <w:tcPr>
            <w:tcW w:w="2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0" w:hRule="atLeast"/>
        </w:trPr>
        <w:tc>
          <w:tcPr>
            <w:tcW w:w="864" w:type="dxa"/>
            <w:vAlign w:val="top"/>
          </w:tcPr>
          <w:p>
            <w:pPr>
              <w:ind w:left="504"/>
              <w:spacing w:before="162" w:line="18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4</w:t>
            </w:r>
          </w:p>
        </w:tc>
        <w:tc>
          <w:tcPr>
            <w:tcW w:w="2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9" w:hRule="atLeast"/>
        </w:trPr>
        <w:tc>
          <w:tcPr>
            <w:tcW w:w="864" w:type="dxa"/>
            <w:vAlign w:val="top"/>
          </w:tcPr>
          <w:p>
            <w:pPr>
              <w:ind w:left="504"/>
              <w:spacing w:before="164" w:line="18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5</w:t>
            </w:r>
          </w:p>
        </w:tc>
        <w:tc>
          <w:tcPr>
            <w:tcW w:w="2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864" w:type="dxa"/>
            <w:vAlign w:val="top"/>
          </w:tcPr>
          <w:p>
            <w:pPr>
              <w:ind w:left="504"/>
              <w:spacing w:before="193" w:line="18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6</w:t>
            </w:r>
          </w:p>
        </w:tc>
        <w:tc>
          <w:tcPr>
            <w:tcW w:w="2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9" w:hRule="atLeast"/>
        </w:trPr>
        <w:tc>
          <w:tcPr>
            <w:tcW w:w="864" w:type="dxa"/>
            <w:vAlign w:val="top"/>
          </w:tcPr>
          <w:p>
            <w:pPr>
              <w:ind w:left="504"/>
              <w:spacing w:before="196" w:line="18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7</w:t>
            </w:r>
          </w:p>
        </w:tc>
        <w:tc>
          <w:tcPr>
            <w:tcW w:w="2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391" w:hRule="atLeast"/>
        </w:trPr>
        <w:tc>
          <w:tcPr>
            <w:tcW w:w="3459" w:type="dxa"/>
            <w:vAlign w:val="top"/>
            <w:gridSpan w:val="3"/>
            <w:tcBorders>
              <w:right w:val="none" w:color="000000" w:sz="8" w:space="0"/>
            </w:tcBorders>
          </w:tcPr>
          <w:p>
            <w:pPr>
              <w:ind w:left="5"/>
              <w:spacing w:before="146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5"/>
              </w:rPr>
              <w:t>说</w:t>
            </w: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15"/>
              </w:rPr>
              <w:t>明</w:t>
            </w:r>
            <w:r>
              <w:rPr>
                <w:rFonts w:ascii="SimSun" w:hAnsi="SimSun" w:eastAsia="SimSun" w:cs="SimSun"/>
                <w:sz w:val="23"/>
                <w:szCs w:val="23"/>
                <w:spacing w:val="-26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15"/>
              </w:rPr>
              <w:t>：</w:t>
            </w:r>
          </w:p>
          <w:p>
            <w:pPr>
              <w:ind w:left="474"/>
              <w:spacing w:before="147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1.意见征集情况</w:t>
            </w:r>
          </w:p>
          <w:p>
            <w:pPr>
              <w:ind w:right="96"/>
              <w:spacing w:before="116" w:line="390" w:lineRule="exact"/>
              <w:jc w:val="righ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  <w:position w:val="11"/>
              </w:rPr>
              <w:t>征求意见的单位数：</w:t>
            </w:r>
          </w:p>
          <w:p>
            <w:pPr>
              <w:ind w:left="725"/>
              <w:spacing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实际反馈意见的单位数：</w:t>
            </w:r>
          </w:p>
          <w:p>
            <w:pPr>
              <w:ind w:left="965"/>
              <w:spacing w:before="116" w:line="400" w:lineRule="exac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  <w:position w:val="12"/>
              </w:rPr>
              <w:t>其中，有建议或意见：</w:t>
            </w:r>
          </w:p>
          <w:p>
            <w:pPr>
              <w:ind w:right="84"/>
              <w:spacing w:before="1" w:line="204" w:lineRule="auto"/>
              <w:jc w:val="righ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无意见：</w:t>
            </w:r>
          </w:p>
        </w:tc>
        <w:tc>
          <w:tcPr>
            <w:tcW w:w="1932" w:type="dxa"/>
            <w:vAlign w:val="top"/>
            <w:tcBorders>
              <w:left w:val="none" w:color="000000" w:sz="8" w:space="0"/>
              <w:right w:val="none" w:color="000000" w:sz="8" w:space="0"/>
            </w:tcBorders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ind w:left="236"/>
              <w:spacing w:before="74" w:line="390" w:lineRule="exac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8"/>
                <w:position w:val="11"/>
              </w:rPr>
              <w:t>家。</w:t>
            </w:r>
          </w:p>
          <w:p>
            <w:pPr>
              <w:ind w:left="195"/>
              <w:spacing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3"/>
              </w:rPr>
              <w:t>家，</w:t>
            </w:r>
          </w:p>
          <w:p>
            <w:pPr>
              <w:ind w:left="204"/>
              <w:spacing w:before="115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3"/>
              </w:rPr>
              <w:t>家，</w:t>
            </w:r>
          </w:p>
          <w:p>
            <w:pPr>
              <w:ind w:left="277"/>
              <w:spacing w:before="125" w:line="205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6"/>
              </w:rPr>
              <w:t>家。</w:t>
            </w:r>
          </w:p>
        </w:tc>
        <w:tc>
          <w:tcPr>
            <w:tcW w:w="3490" w:type="dxa"/>
            <w:vAlign w:val="top"/>
            <w:tcBorders>
              <w:left w:val="none" w:color="000000" w:sz="8" w:space="0"/>
              <w:right w:val="none" w:color="000000" w:sz="8" w:space="0"/>
            </w:tcBorders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ind w:left="458"/>
              <w:spacing w:before="74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2.意见处理情况</w:t>
            </w:r>
          </w:p>
          <w:p>
            <w:pPr>
              <w:ind w:left="1489" w:right="110"/>
              <w:spacing w:before="135" w:line="266" w:lineRule="auto"/>
              <w:jc w:val="righ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共收集反馈意见：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其中，采纳：</w:t>
            </w:r>
          </w:p>
          <w:p>
            <w:pPr>
              <w:ind w:right="114"/>
              <w:spacing w:before="107" w:line="430" w:lineRule="exact"/>
              <w:jc w:val="righ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  <w:position w:val="15"/>
              </w:rPr>
              <w:t>部分采纳：</w:t>
            </w:r>
          </w:p>
          <w:p>
            <w:pPr>
              <w:ind w:right="117"/>
              <w:spacing w:line="205" w:lineRule="auto"/>
              <w:jc w:val="righ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未采纳：</w:t>
            </w:r>
          </w:p>
        </w:tc>
        <w:tc>
          <w:tcPr>
            <w:tcW w:w="5599" w:type="dxa"/>
            <w:vAlign w:val="top"/>
            <w:gridSpan w:val="3"/>
            <w:tcBorders>
              <w:left w:val="none" w:color="000000" w:sz="8" w:space="0"/>
            </w:tcBorders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ind w:left="232"/>
              <w:spacing w:before="74" w:line="390" w:lineRule="exac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3"/>
                <w:position w:val="11"/>
              </w:rPr>
              <w:t>项，</w:t>
            </w:r>
          </w:p>
          <w:p>
            <w:pPr>
              <w:ind w:left="228"/>
              <w:spacing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2"/>
              </w:rPr>
              <w:t>项，</w:t>
            </w:r>
          </w:p>
          <w:p>
            <w:pPr>
              <w:ind w:left="500"/>
              <w:spacing w:before="105" w:line="430" w:lineRule="exac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2"/>
                <w:position w:val="15"/>
              </w:rPr>
              <w:t>项，</w:t>
            </w:r>
          </w:p>
          <w:p>
            <w:pPr>
              <w:ind w:left="247"/>
              <w:spacing w:line="205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6"/>
              </w:rPr>
              <w:t>项。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0" w:h="11900"/>
          <w:pgMar w:top="400" w:right="1144" w:bottom="0" w:left="1194" w:header="0" w:footer="0" w:gutter="0"/>
        </w:sectPr>
        <w:rPr/>
      </w:pP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before="91" w:line="225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17"/>
        </w:rPr>
        <w:t>附</w:t>
      </w:r>
      <w:r>
        <w:rPr>
          <w:rFonts w:ascii="SimHei" w:hAnsi="SimHei" w:eastAsia="SimHei" w:cs="SimHei"/>
          <w:sz w:val="28"/>
          <w:szCs w:val="28"/>
          <w:spacing w:val="45"/>
        </w:rPr>
        <w:t xml:space="preserve"> </w:t>
      </w:r>
      <w:r>
        <w:rPr>
          <w:rFonts w:ascii="SimHei" w:hAnsi="SimHei" w:eastAsia="SimHei" w:cs="SimHei"/>
          <w:sz w:val="28"/>
          <w:szCs w:val="28"/>
          <w:b/>
          <w:bCs/>
          <w:spacing w:val="-17"/>
        </w:rPr>
        <w:t>6</w:t>
      </w:r>
    </w:p>
    <w:p>
      <w:pPr>
        <w:ind w:left="231"/>
        <w:spacing w:before="154" w:line="219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b/>
          <w:bCs/>
          <w:spacing w:val="-3"/>
        </w:rPr>
        <w:t>襄阳市建设工程咨询服务行业协会团体标准技术审查表</w:t>
      </w:r>
    </w:p>
    <w:p>
      <w:pPr>
        <w:spacing w:line="108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8182" w:type="dxa"/>
        <w:tblInd w:w="466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4"/>
        <w:gridCol w:w="669"/>
        <w:gridCol w:w="250"/>
        <w:gridCol w:w="4296"/>
        <w:gridCol w:w="1763"/>
      </w:tblGrid>
      <w:tr>
        <w:trPr>
          <w:trHeight w:val="524" w:hRule="atLeast"/>
        </w:trPr>
        <w:tc>
          <w:tcPr>
            <w:tcW w:w="1873" w:type="dxa"/>
            <w:vAlign w:val="top"/>
            <w:gridSpan w:val="2"/>
          </w:tcPr>
          <w:p>
            <w:pPr>
              <w:ind w:left="414"/>
              <w:spacing w:before="164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标准名称</w:t>
            </w:r>
          </w:p>
        </w:tc>
        <w:tc>
          <w:tcPr>
            <w:tcW w:w="6309" w:type="dxa"/>
            <w:vAlign w:val="top"/>
            <w:gridSpan w:val="3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0" w:hRule="atLeast"/>
        </w:trPr>
        <w:tc>
          <w:tcPr>
            <w:tcW w:w="1873" w:type="dxa"/>
            <w:vAlign w:val="top"/>
            <w:gridSpan w:val="2"/>
          </w:tcPr>
          <w:p>
            <w:pPr>
              <w:ind w:left="414"/>
              <w:spacing w:before="14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申请单位</w:t>
            </w:r>
          </w:p>
        </w:tc>
        <w:tc>
          <w:tcPr>
            <w:tcW w:w="6309" w:type="dxa"/>
            <w:vAlign w:val="top"/>
            <w:gridSpan w:val="3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873" w:type="dxa"/>
            <w:vAlign w:val="top"/>
            <w:gridSpan w:val="2"/>
          </w:tcPr>
          <w:p>
            <w:pPr>
              <w:ind w:left="414"/>
              <w:spacing w:before="100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审查方式</w:t>
            </w:r>
          </w:p>
        </w:tc>
        <w:tc>
          <w:tcPr>
            <w:tcW w:w="6309" w:type="dxa"/>
            <w:vAlign w:val="top"/>
            <w:gridSpan w:val="3"/>
            <w:tcBorders>
              <w:right w:val="single" w:color="000000" w:sz="2" w:space="0"/>
            </w:tcBorders>
          </w:tcPr>
          <w:p>
            <w:pPr>
              <w:ind w:left="412"/>
              <w:spacing w:before="13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会审</w:t>
            </w:r>
            <w:r>
              <w:rPr>
                <w:rFonts w:ascii="SimSun" w:hAnsi="SimSun" w:eastAsia="SimSun" w:cs="SimSun"/>
                <w:sz w:val="21"/>
                <w:szCs w:val="21"/>
                <w:spacing w:val="22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□函审</w:t>
            </w:r>
          </w:p>
        </w:tc>
      </w:tr>
      <w:tr>
        <w:trPr>
          <w:trHeight w:val="420" w:hRule="atLeast"/>
        </w:trPr>
        <w:tc>
          <w:tcPr>
            <w:tcW w:w="1873" w:type="dxa"/>
            <w:vAlign w:val="top"/>
            <w:gridSpan w:val="2"/>
          </w:tcPr>
          <w:p>
            <w:pPr>
              <w:ind w:left="414"/>
              <w:spacing w:before="15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会审时间</w:t>
            </w:r>
          </w:p>
        </w:tc>
        <w:tc>
          <w:tcPr>
            <w:tcW w:w="6309" w:type="dxa"/>
            <w:vAlign w:val="top"/>
            <w:gridSpan w:val="3"/>
            <w:tcBorders>
              <w:right w:val="single" w:color="000000" w:sz="2" w:space="0"/>
            </w:tcBorders>
          </w:tcPr>
          <w:p>
            <w:pPr>
              <w:ind w:left="412"/>
              <w:spacing w:before="15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年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 xml:space="preserve">    </w:t>
            </w: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月</w:t>
            </w:r>
            <w:r>
              <w:rPr>
                <w:rFonts w:ascii="SimSun" w:hAnsi="SimSun" w:eastAsia="SimSun" w:cs="SimSun"/>
                <w:sz w:val="21"/>
                <w:szCs w:val="21"/>
                <w:spacing w:val="13"/>
              </w:rPr>
              <w:t xml:space="preserve">     </w:t>
            </w: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日</w:t>
            </w:r>
          </w:p>
        </w:tc>
      </w:tr>
      <w:tr>
        <w:trPr>
          <w:trHeight w:val="889" w:hRule="atLeast"/>
        </w:trPr>
        <w:tc>
          <w:tcPr>
            <w:tcW w:w="1873" w:type="dxa"/>
            <w:vAlign w:val="top"/>
            <w:gridSpan w:val="2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414"/>
              <w:spacing w:before="69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函审时间</w:t>
            </w:r>
          </w:p>
        </w:tc>
        <w:tc>
          <w:tcPr>
            <w:tcW w:w="6309" w:type="dxa"/>
            <w:vAlign w:val="top"/>
            <w:gridSpan w:val="3"/>
            <w:tcBorders>
              <w:right w:val="single" w:color="000000" w:sz="2" w:space="0"/>
            </w:tcBorders>
          </w:tcPr>
          <w:p>
            <w:pPr>
              <w:ind w:left="412"/>
              <w:spacing w:before="18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2"/>
              </w:rPr>
              <w:t>发出日期：</w:t>
            </w:r>
            <w:r>
              <w:rPr>
                <w:rFonts w:ascii="SimSun" w:hAnsi="SimSun" w:eastAsia="SimSun" w:cs="SimSun"/>
                <w:sz w:val="21"/>
                <w:szCs w:val="21"/>
                <w:spacing w:val="22"/>
              </w:rPr>
              <w:t xml:space="preserve">   </w:t>
            </w:r>
            <w:r>
              <w:rPr>
                <w:rFonts w:ascii="SimSun" w:hAnsi="SimSun" w:eastAsia="SimSun" w:cs="SimSun"/>
                <w:sz w:val="21"/>
                <w:szCs w:val="21"/>
                <w:spacing w:val="-22"/>
              </w:rPr>
              <w:t>年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 xml:space="preserve">   </w:t>
            </w:r>
            <w:r>
              <w:rPr>
                <w:rFonts w:ascii="SimSun" w:hAnsi="SimSun" w:eastAsia="SimSun" w:cs="SimSun"/>
                <w:sz w:val="21"/>
                <w:szCs w:val="21"/>
                <w:spacing w:val="-22"/>
              </w:rPr>
              <w:t>月</w:t>
            </w:r>
            <w:r>
              <w:rPr>
                <w:rFonts w:ascii="SimSun" w:hAnsi="SimSun" w:eastAsia="SimSun" w:cs="SimSun"/>
                <w:sz w:val="21"/>
                <w:szCs w:val="21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1"/>
                <w:szCs w:val="21"/>
                <w:spacing w:val="-22"/>
              </w:rPr>
              <w:t>日</w:t>
            </w:r>
          </w:p>
          <w:p>
            <w:pPr>
              <w:ind w:left="412"/>
              <w:spacing w:before="13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2"/>
              </w:rPr>
              <w:t>截止日期：</w:t>
            </w:r>
            <w:r>
              <w:rPr>
                <w:rFonts w:ascii="SimSun" w:hAnsi="SimSun" w:eastAsia="SimSun" w:cs="SimSun"/>
                <w:sz w:val="21"/>
                <w:szCs w:val="21"/>
                <w:spacing w:val="24"/>
              </w:rPr>
              <w:t xml:space="preserve">   </w:t>
            </w:r>
            <w:r>
              <w:rPr>
                <w:rFonts w:ascii="SimSun" w:hAnsi="SimSun" w:eastAsia="SimSun" w:cs="SimSun"/>
                <w:sz w:val="21"/>
                <w:szCs w:val="21"/>
                <w:spacing w:val="-22"/>
              </w:rPr>
              <w:t>年</w:t>
            </w:r>
            <w:r>
              <w:rPr>
                <w:rFonts w:ascii="SimSun" w:hAnsi="SimSun" w:eastAsia="SimSun" w:cs="SimSun"/>
                <w:sz w:val="21"/>
                <w:szCs w:val="21"/>
                <w:spacing w:val="12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22"/>
              </w:rPr>
              <w:t>月</w:t>
            </w:r>
            <w:r>
              <w:rPr>
                <w:rFonts w:ascii="SimSun" w:hAnsi="SimSun" w:eastAsia="SimSun" w:cs="SimSun"/>
                <w:sz w:val="21"/>
                <w:szCs w:val="21"/>
                <w:spacing w:val="27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22"/>
              </w:rPr>
              <w:t>日</w:t>
            </w:r>
          </w:p>
        </w:tc>
      </w:tr>
      <w:tr>
        <w:trPr>
          <w:trHeight w:val="1848" w:hRule="atLeast"/>
        </w:trPr>
        <w:tc>
          <w:tcPr>
            <w:tcW w:w="8182" w:type="dxa"/>
            <w:vAlign w:val="top"/>
            <w:gridSpan w:val="5"/>
            <w:tcBorders>
              <w:right w:val="single" w:color="000000" w:sz="2" w:space="0"/>
            </w:tcBorders>
          </w:tcPr>
          <w:p>
            <w:pPr>
              <w:ind w:left="424"/>
              <w:spacing w:before="131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9"/>
              </w:rPr>
              <w:t>审查情况：</w:t>
            </w:r>
          </w:p>
          <w:p>
            <w:pPr>
              <w:ind w:left="424"/>
              <w:spacing w:before="144" w:line="369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  <w:position w:val="12"/>
              </w:rPr>
              <w:t>参与审查的人数：</w:t>
            </w:r>
            <w:r>
              <w:rPr>
                <w:rFonts w:ascii="SimSun" w:hAnsi="SimSun" w:eastAsia="SimSun" w:cs="SimSun"/>
                <w:sz w:val="19"/>
                <w:szCs w:val="19"/>
                <w:spacing w:val="-34"/>
                <w:position w:val="1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  <w:position w:val="13"/>
              </w:rPr>
              <w:t>位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3"/>
              </w:rPr>
              <w:t xml:space="preserve">      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  <w:position w:val="13"/>
              </w:rPr>
              <w:t>，</w:t>
            </w:r>
          </w:p>
          <w:p>
            <w:pPr>
              <w:ind w:left="835"/>
              <w:spacing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其中，赞成：位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    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，</w:t>
            </w:r>
          </w:p>
          <w:p>
            <w:pPr>
              <w:ind w:left="1244"/>
              <w:spacing w:before="132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0"/>
              </w:rPr>
              <w:t>不赞成：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     </w:t>
            </w:r>
            <w:r>
              <w:rPr>
                <w:rFonts w:ascii="SimSun" w:hAnsi="SimSun" w:eastAsia="SimSun" w:cs="SimSun"/>
                <w:sz w:val="19"/>
                <w:szCs w:val="19"/>
                <w:spacing w:val="-20"/>
              </w:rPr>
              <w:t>位，</w:t>
            </w:r>
          </w:p>
          <w:p>
            <w:pPr>
              <w:ind w:left="1455"/>
              <w:spacing w:before="113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6"/>
              </w:rPr>
              <w:t>弃权：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  </w:t>
            </w:r>
            <w:r>
              <w:rPr>
                <w:rFonts w:ascii="SimSun" w:hAnsi="SimSun" w:eastAsia="SimSun" w:cs="SimSun"/>
                <w:sz w:val="19"/>
                <w:szCs w:val="19"/>
                <w:spacing w:val="-16"/>
              </w:rPr>
              <w:t>位。</w:t>
            </w:r>
          </w:p>
        </w:tc>
      </w:tr>
      <w:tr>
        <w:trPr>
          <w:trHeight w:val="2228" w:hRule="atLeast"/>
        </w:trPr>
        <w:tc>
          <w:tcPr>
            <w:tcW w:w="8182" w:type="dxa"/>
            <w:vAlign w:val="top"/>
            <w:gridSpan w:val="5"/>
            <w:tcBorders>
              <w:right w:val="single" w:color="000000" w:sz="2" w:space="0"/>
            </w:tcBorders>
          </w:tcPr>
          <w:p>
            <w:pPr>
              <w:ind w:left="424"/>
              <w:spacing w:before="193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1"/>
              </w:rPr>
              <w:t>审查意见：</w:t>
            </w:r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424"/>
              <w:spacing w:before="68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审查结论：经审查小组成员协商，标准审查：</w:t>
            </w:r>
          </w:p>
          <w:p>
            <w:pPr>
              <w:ind w:left="424"/>
              <w:spacing w:before="9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□</w:t>
            </w:r>
            <w:r>
              <w:rPr>
                <w:rFonts w:ascii="SimSun" w:hAnsi="SimSun" w:eastAsia="SimSun" w:cs="SimSun"/>
                <w:sz w:val="21"/>
                <w:szCs w:val="21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通</w:t>
            </w:r>
            <w:r>
              <w:rPr>
                <w:rFonts w:ascii="SimSun" w:hAnsi="SimSun" w:eastAsia="SimSun" w:cs="SimSun"/>
                <w:sz w:val="21"/>
                <w:szCs w:val="21"/>
                <w:spacing w:val="-35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过</w:t>
            </w:r>
            <w:r>
              <w:rPr>
                <w:rFonts w:ascii="SimSun" w:hAnsi="SimSun" w:eastAsia="SimSun" w:cs="SimSun"/>
                <w:sz w:val="21"/>
                <w:szCs w:val="21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；</w:t>
            </w:r>
          </w:p>
          <w:p>
            <w:pPr>
              <w:ind w:left="424"/>
              <w:spacing w:before="126" w:line="20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□不通过，建议：□重新征求意见，□重新审查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，□终止项目。</w:t>
            </w:r>
          </w:p>
        </w:tc>
      </w:tr>
      <w:tr>
        <w:trPr>
          <w:trHeight w:val="1798" w:hRule="atLeast"/>
        </w:trPr>
        <w:tc>
          <w:tcPr>
            <w:tcW w:w="8182" w:type="dxa"/>
            <w:vAlign w:val="top"/>
            <w:gridSpan w:val="5"/>
            <w:tcBorders>
              <w:right w:val="single" w:color="000000" w:sz="2" w:space="0"/>
            </w:tcBorders>
          </w:tcPr>
          <w:p>
            <w:pPr>
              <w:ind w:left="424"/>
              <w:spacing w:before="286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5"/>
              </w:rPr>
              <w:t>审查小组组长：</w:t>
            </w:r>
          </w:p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ind w:left="4004"/>
              <w:spacing w:before="6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(签名)</w:t>
            </w:r>
          </w:p>
          <w:p>
            <w:pPr>
              <w:ind w:left="5084"/>
              <w:spacing w:before="12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年</w:t>
            </w:r>
            <w:r>
              <w:rPr>
                <w:rFonts w:ascii="SimSun" w:hAnsi="SimSun" w:eastAsia="SimSun" w:cs="SimSun"/>
                <w:sz w:val="21"/>
                <w:szCs w:val="21"/>
                <w:spacing w:val="20"/>
              </w:rPr>
              <w:t xml:space="preserve">     </w:t>
            </w: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月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 xml:space="preserve">     </w:t>
            </w: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日</w:t>
            </w:r>
          </w:p>
        </w:tc>
      </w:tr>
      <w:tr>
        <w:trPr>
          <w:trHeight w:val="350" w:hRule="atLeast"/>
        </w:trPr>
        <w:tc>
          <w:tcPr>
            <w:tcW w:w="8182" w:type="dxa"/>
            <w:vAlign w:val="top"/>
            <w:gridSpan w:val="5"/>
            <w:tcBorders>
              <w:right w:val="single" w:color="000000" w:sz="2" w:space="0"/>
            </w:tcBorders>
          </w:tcPr>
          <w:p>
            <w:pPr>
              <w:ind w:left="424"/>
              <w:spacing w:before="78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审查小组成员名单：</w:t>
            </w:r>
          </w:p>
        </w:tc>
      </w:tr>
      <w:tr>
        <w:trPr>
          <w:trHeight w:val="559" w:hRule="atLeast"/>
        </w:trPr>
        <w:tc>
          <w:tcPr>
            <w:tcW w:w="1204" w:type="dxa"/>
            <w:vAlign w:val="top"/>
          </w:tcPr>
          <w:p>
            <w:pPr>
              <w:ind w:left="384"/>
              <w:spacing w:before="18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序号</w:t>
            </w:r>
          </w:p>
        </w:tc>
        <w:tc>
          <w:tcPr>
            <w:tcW w:w="919" w:type="dxa"/>
            <w:vAlign w:val="top"/>
            <w:gridSpan w:val="2"/>
          </w:tcPr>
          <w:p>
            <w:pPr>
              <w:spacing w:before="187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3"/>
              </w:rPr>
              <w:t>姓名</w:t>
            </w:r>
          </w:p>
        </w:tc>
        <w:tc>
          <w:tcPr>
            <w:tcW w:w="4296" w:type="dxa"/>
            <w:vAlign w:val="top"/>
          </w:tcPr>
          <w:p>
            <w:pPr>
              <w:ind w:left="432"/>
              <w:spacing w:before="188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单位及职位</w:t>
            </w:r>
          </w:p>
        </w:tc>
        <w:tc>
          <w:tcPr>
            <w:tcW w:w="1763" w:type="dxa"/>
            <w:vAlign w:val="top"/>
            <w:tcBorders>
              <w:right w:val="single" w:color="000000" w:sz="2" w:space="0"/>
            </w:tcBorders>
          </w:tcPr>
          <w:p>
            <w:pPr>
              <w:ind w:left="406"/>
              <w:spacing w:before="19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职称</w:t>
            </w:r>
          </w:p>
        </w:tc>
      </w:tr>
      <w:tr>
        <w:trPr>
          <w:trHeight w:val="400" w:hRule="atLeast"/>
        </w:trPr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3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0" w:hRule="atLeast"/>
        </w:trPr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3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0" w:hRule="atLeast"/>
        </w:trPr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3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3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0" w:hRule="atLeast"/>
        </w:trPr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3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0" w:hRule="atLeast"/>
        </w:trPr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3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3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30"/>
          <w:pgMar w:top="400" w:right="1398" w:bottom="0" w:left="1593" w:header="0" w:footer="0" w:gutter="0"/>
        </w:sectPr>
        <w:rPr/>
      </w:pP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before="81" w:line="225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b/>
          <w:bCs/>
          <w:spacing w:val="-15"/>
        </w:rPr>
        <w:t>附</w:t>
      </w:r>
      <w:r>
        <w:rPr>
          <w:rFonts w:ascii="SimHei" w:hAnsi="SimHei" w:eastAsia="SimHei" w:cs="SimHei"/>
          <w:sz w:val="25"/>
          <w:szCs w:val="25"/>
          <w:spacing w:val="97"/>
        </w:rPr>
        <w:t xml:space="preserve"> </w:t>
      </w:r>
      <w:r>
        <w:rPr>
          <w:rFonts w:ascii="SimHei" w:hAnsi="SimHei" w:eastAsia="SimHei" w:cs="SimHei"/>
          <w:sz w:val="25"/>
          <w:szCs w:val="25"/>
          <w:b/>
          <w:bCs/>
          <w:spacing w:val="-15"/>
        </w:rPr>
        <w:t>7</w:t>
      </w:r>
    </w:p>
    <w:p>
      <w:pPr>
        <w:ind w:left="1851"/>
        <w:spacing w:before="172" w:line="219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b/>
          <w:bCs/>
          <w:spacing w:val="2"/>
        </w:rPr>
        <w:t>襄阳市建设工程咨询服务行业协会团体标准审查意见汇总处理表</w:t>
      </w:r>
    </w:p>
    <w:p>
      <w:pPr>
        <w:ind w:left="486"/>
        <w:spacing w:before="141" w:line="227" w:lineRule="auto"/>
        <w:rPr>
          <w:rFonts w:ascii="SimSun" w:hAnsi="SimSun" w:eastAsia="SimSun" w:cs="SimSun"/>
          <w:sz w:val="24"/>
          <w:szCs w:val="24"/>
        </w:rPr>
      </w:pPr>
      <w:r>
        <w:rPr>
          <w:rFonts w:ascii="FangSong" w:hAnsi="FangSong" w:eastAsia="FangSong" w:cs="FangSong"/>
          <w:sz w:val="25"/>
          <w:szCs w:val="25"/>
          <w:spacing w:val="-26"/>
        </w:rPr>
        <w:t>标准名称：</w:t>
      </w:r>
      <w:r>
        <w:rPr>
          <w:rFonts w:ascii="FangSong" w:hAnsi="FangSong" w:eastAsia="FangSong" w:cs="FangSong"/>
          <w:sz w:val="25"/>
          <w:szCs w:val="25"/>
          <w:spacing w:val="6"/>
        </w:rPr>
        <w:t xml:space="preserve">                   </w:t>
      </w:r>
      <w:r>
        <w:rPr>
          <w:rFonts w:ascii="FangSong" w:hAnsi="FangSong" w:eastAsia="FangSong" w:cs="FangSong"/>
          <w:sz w:val="25"/>
          <w:szCs w:val="25"/>
          <w:spacing w:val="-26"/>
        </w:rPr>
        <w:t>申请单位：</w:t>
      </w:r>
      <w:r>
        <w:rPr>
          <w:rFonts w:ascii="FangSong" w:hAnsi="FangSong" w:eastAsia="FangSong" w:cs="FangSong"/>
          <w:sz w:val="25"/>
          <w:szCs w:val="25"/>
          <w:spacing w:val="2"/>
        </w:rPr>
        <w:t xml:space="preserve">                </w:t>
      </w:r>
      <w:r>
        <w:rPr>
          <w:rFonts w:ascii="SimSun" w:hAnsi="SimSun" w:eastAsia="SimSun" w:cs="SimSun"/>
          <w:sz w:val="24"/>
          <w:szCs w:val="24"/>
          <w:spacing w:val="-26"/>
        </w:rPr>
        <w:t>承</w:t>
      </w:r>
      <w:r>
        <w:rPr>
          <w:rFonts w:ascii="SimSun" w:hAnsi="SimSun" w:eastAsia="SimSun" w:cs="SimSun"/>
          <w:sz w:val="24"/>
          <w:szCs w:val="24"/>
          <w:spacing w:val="-3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6"/>
        </w:rPr>
        <w:t>办</w:t>
      </w:r>
      <w:r>
        <w:rPr>
          <w:rFonts w:ascii="SimSun" w:hAnsi="SimSun" w:eastAsia="SimSun" w:cs="SimSun"/>
          <w:sz w:val="24"/>
          <w:szCs w:val="24"/>
          <w:spacing w:val="-4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6"/>
        </w:rPr>
        <w:t>人</w:t>
      </w:r>
      <w:r>
        <w:rPr>
          <w:rFonts w:ascii="SimSun" w:hAnsi="SimSun" w:eastAsia="SimSun" w:cs="SimSun"/>
          <w:sz w:val="24"/>
          <w:szCs w:val="24"/>
          <w:spacing w:val="-2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6"/>
        </w:rPr>
        <w:t>：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         </w:t>
      </w:r>
      <w:r>
        <w:rPr>
          <w:rFonts w:ascii="SimSun" w:hAnsi="SimSun" w:eastAsia="SimSun" w:cs="SimSun"/>
          <w:sz w:val="24"/>
          <w:szCs w:val="24"/>
          <w:spacing w:val="-26"/>
          <w:position w:val="-1"/>
        </w:rPr>
        <w:t>电</w:t>
      </w:r>
      <w:r>
        <w:rPr>
          <w:rFonts w:ascii="SimSun" w:hAnsi="SimSun" w:eastAsia="SimSun" w:cs="SimSun"/>
          <w:sz w:val="24"/>
          <w:szCs w:val="24"/>
          <w:position w:val="-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6"/>
          <w:position w:val="-1"/>
        </w:rPr>
        <w:t>话</w:t>
      </w:r>
      <w:r>
        <w:rPr>
          <w:rFonts w:ascii="SimSun" w:hAnsi="SimSun" w:eastAsia="SimSun" w:cs="SimSun"/>
          <w:sz w:val="24"/>
          <w:szCs w:val="24"/>
          <w:spacing w:val="16"/>
          <w:position w:val="-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6"/>
          <w:position w:val="-1"/>
        </w:rPr>
        <w:t>：</w:t>
      </w:r>
      <w:r>
        <w:rPr>
          <w:rFonts w:ascii="SimSun" w:hAnsi="SimSun" w:eastAsia="SimSun" w:cs="SimSun"/>
          <w:sz w:val="24"/>
          <w:szCs w:val="24"/>
          <w:spacing w:val="8"/>
          <w:position w:val="-1"/>
        </w:rPr>
        <w:t xml:space="preserve">             </w:t>
      </w:r>
      <w:r>
        <w:rPr>
          <w:rFonts w:ascii="SimSun" w:hAnsi="SimSun" w:eastAsia="SimSun" w:cs="SimSun"/>
          <w:sz w:val="24"/>
          <w:szCs w:val="24"/>
          <w:spacing w:val="-26"/>
          <w:position w:val="1"/>
        </w:rPr>
        <w:t>年</w:t>
      </w:r>
      <w:r>
        <w:rPr>
          <w:rFonts w:ascii="SimSun" w:hAnsi="SimSun" w:eastAsia="SimSun" w:cs="SimSun"/>
          <w:sz w:val="24"/>
          <w:szCs w:val="24"/>
          <w:spacing w:val="26"/>
          <w:position w:val="1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6"/>
          <w:position w:val="1"/>
        </w:rPr>
        <w:t>月</w:t>
      </w:r>
      <w:r>
        <w:rPr>
          <w:rFonts w:ascii="SimSun" w:hAnsi="SimSun" w:eastAsia="SimSun" w:cs="SimSun"/>
          <w:sz w:val="24"/>
          <w:szCs w:val="24"/>
          <w:spacing w:val="39"/>
          <w:position w:val="1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6"/>
          <w:position w:val="1"/>
        </w:rPr>
        <w:t>日</w:t>
      </w:r>
    </w:p>
    <w:p>
      <w:pPr>
        <w:spacing w:line="124" w:lineRule="exact"/>
        <w:rPr/>
      </w:pPr>
      <w:r/>
    </w:p>
    <w:tbl>
      <w:tblPr>
        <w:tblStyle w:val="2"/>
        <w:tblW w:w="13390" w:type="dxa"/>
        <w:tblInd w:w="286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95"/>
        <w:gridCol w:w="4866"/>
        <w:gridCol w:w="1805"/>
        <w:gridCol w:w="613"/>
        <w:gridCol w:w="840"/>
        <w:gridCol w:w="1129"/>
        <w:gridCol w:w="2268"/>
        <w:gridCol w:w="240"/>
        <w:gridCol w:w="1034"/>
      </w:tblGrid>
      <w:tr>
        <w:trPr>
          <w:trHeight w:val="1064" w:hRule="atLeast"/>
        </w:trPr>
        <w:tc>
          <w:tcPr>
            <w:tcW w:w="595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55"/>
              <w:spacing w:before="68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序号</w:t>
            </w:r>
          </w:p>
        </w:tc>
        <w:tc>
          <w:tcPr>
            <w:tcW w:w="4866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ind w:left="2080"/>
              <w:spacing w:before="7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标准章条编号</w:t>
            </w:r>
          </w:p>
        </w:tc>
        <w:tc>
          <w:tcPr>
            <w:tcW w:w="2418" w:type="dxa"/>
            <w:vAlign w:val="top"/>
            <w:gridSpan w:val="2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ind w:left="744"/>
              <w:spacing w:before="7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意见内容</w:t>
            </w:r>
          </w:p>
        </w:tc>
        <w:tc>
          <w:tcPr>
            <w:tcW w:w="840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ind w:left="26"/>
              <w:spacing w:before="7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提出人</w:t>
            </w:r>
          </w:p>
        </w:tc>
        <w:tc>
          <w:tcPr>
            <w:tcW w:w="1129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ind w:left="46"/>
              <w:spacing w:before="7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所属单位</w:t>
            </w:r>
          </w:p>
        </w:tc>
        <w:tc>
          <w:tcPr>
            <w:tcW w:w="2508" w:type="dxa"/>
            <w:vAlign w:val="top"/>
            <w:gridSpan w:val="2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ind w:left="727"/>
              <w:spacing w:before="7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处理意见</w:t>
            </w:r>
          </w:p>
        </w:tc>
        <w:tc>
          <w:tcPr>
            <w:tcW w:w="103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ind w:left="289"/>
              <w:spacing w:before="7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备注</w:t>
            </w:r>
          </w:p>
        </w:tc>
      </w:tr>
      <w:tr>
        <w:trPr>
          <w:trHeight w:val="519" w:hRule="atLeast"/>
        </w:trPr>
        <w:tc>
          <w:tcPr>
            <w:tcW w:w="595" w:type="dxa"/>
            <w:vAlign w:val="top"/>
          </w:tcPr>
          <w:p>
            <w:pPr>
              <w:ind w:left="155"/>
              <w:spacing w:before="205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48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8" w:type="dxa"/>
            <w:vAlign w:val="top"/>
            <w:gridSpan w:val="2"/>
          </w:tcPr>
          <w:p>
            <w:pPr>
              <w:ind w:left="7"/>
              <w:spacing w:before="148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采纳/部分采纳/未采纳</w:t>
            </w:r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95" w:type="dxa"/>
            <w:vAlign w:val="top"/>
          </w:tcPr>
          <w:p>
            <w:pPr>
              <w:ind w:left="155"/>
              <w:spacing w:before="67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48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9" w:hRule="atLeast"/>
        </w:trPr>
        <w:tc>
          <w:tcPr>
            <w:tcW w:w="595" w:type="dxa"/>
            <w:vAlign w:val="top"/>
          </w:tcPr>
          <w:p>
            <w:pPr>
              <w:ind w:left="155"/>
              <w:spacing w:before="78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48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0" w:hRule="atLeast"/>
        </w:trPr>
        <w:tc>
          <w:tcPr>
            <w:tcW w:w="595" w:type="dxa"/>
            <w:vAlign w:val="top"/>
          </w:tcPr>
          <w:p>
            <w:pPr>
              <w:ind w:left="155"/>
              <w:spacing w:before="79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48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595" w:type="dxa"/>
            <w:vAlign w:val="top"/>
          </w:tcPr>
          <w:p>
            <w:pPr>
              <w:ind w:left="155"/>
              <w:spacing w:before="91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48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0" w:hRule="atLeast"/>
        </w:trPr>
        <w:tc>
          <w:tcPr>
            <w:tcW w:w="595" w:type="dxa"/>
            <w:vAlign w:val="top"/>
          </w:tcPr>
          <w:p>
            <w:pPr>
              <w:ind w:left="155"/>
              <w:spacing w:before="70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48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9" w:hRule="atLeast"/>
        </w:trPr>
        <w:tc>
          <w:tcPr>
            <w:tcW w:w="595" w:type="dxa"/>
            <w:vAlign w:val="top"/>
          </w:tcPr>
          <w:p>
            <w:pPr>
              <w:ind w:left="155"/>
              <w:spacing w:before="72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48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595" w:type="dxa"/>
            <w:vAlign w:val="top"/>
          </w:tcPr>
          <w:p>
            <w:pPr>
              <w:ind w:left="155"/>
              <w:spacing w:before="91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48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252" w:hRule="atLeast"/>
        </w:trPr>
        <w:tc>
          <w:tcPr>
            <w:tcW w:w="7266" w:type="dxa"/>
            <w:vAlign w:val="top"/>
            <w:gridSpan w:val="3"/>
            <w:tcBorders>
              <w:right w:val="none" w:color="000000" w:sz="8" w:space="0"/>
            </w:tcBorders>
          </w:tcPr>
          <w:p>
            <w:pPr>
              <w:ind w:left="5"/>
              <w:spacing w:before="126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4"/>
              </w:rPr>
              <w:t>说</w:t>
            </w: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4"/>
              </w:rPr>
              <w:t>明</w:t>
            </w:r>
            <w:r>
              <w:rPr>
                <w:rFonts w:ascii="SimSun" w:hAnsi="SimSun" w:eastAsia="SimSun" w:cs="SimSun"/>
                <w:sz w:val="22"/>
                <w:szCs w:val="22"/>
                <w:spacing w:val="-24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4"/>
              </w:rPr>
              <w:t>：</w:t>
            </w:r>
          </w:p>
          <w:p>
            <w:pPr>
              <w:ind w:left="5"/>
              <w:spacing w:before="69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1.标准审查情况</w:t>
            </w:r>
          </w:p>
          <w:p>
            <w:pPr>
              <w:ind w:left="5515" w:right="172" w:hanging="450"/>
              <w:spacing w:before="87" w:line="26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参与标准审查的人：</w:t>
            </w:r>
            <w:r>
              <w:rPr>
                <w:rFonts w:ascii="SimSun" w:hAnsi="SimSun" w:eastAsia="SimSun" w:cs="SimSun"/>
                <w:sz w:val="22"/>
                <w:szCs w:val="22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其中，赞成：</w:t>
            </w:r>
          </w:p>
          <w:p>
            <w:pPr>
              <w:ind w:left="6324" w:right="254" w:hanging="200"/>
              <w:spacing w:before="106" w:line="26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不赞成：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弃权：</w:t>
            </w:r>
          </w:p>
        </w:tc>
        <w:tc>
          <w:tcPr>
            <w:tcW w:w="613" w:type="dxa"/>
            <w:vAlign w:val="top"/>
            <w:tcBorders>
              <w:left w:val="none" w:color="000000" w:sz="8" w:space="0"/>
              <w:right w:val="none" w:color="000000" w:sz="8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166" w:firstLine="91"/>
              <w:spacing w:before="62" w:line="329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5"/>
              </w:rPr>
              <w:t>位，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14"/>
              </w:rPr>
              <w:t>位，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13"/>
              </w:rPr>
              <w:t>位，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位。</w:t>
            </w:r>
          </w:p>
        </w:tc>
        <w:tc>
          <w:tcPr>
            <w:tcW w:w="4237" w:type="dxa"/>
            <w:vAlign w:val="top"/>
            <w:gridSpan w:val="3"/>
            <w:tcBorders>
              <w:left w:val="none" w:color="000000" w:sz="8" w:space="0"/>
              <w:right w:val="none" w:color="000000" w:sz="8" w:space="0"/>
            </w:tcBorders>
          </w:tcPr>
          <w:p>
            <w:pPr>
              <w:ind w:left="811"/>
              <w:spacing w:before="296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2.意见处理情况</w:t>
            </w:r>
          </w:p>
          <w:p>
            <w:pPr>
              <w:ind w:left="1081"/>
              <w:spacing w:before="89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审查人员提出的意见共计：</w:t>
            </w:r>
          </w:p>
          <w:p>
            <w:pPr>
              <w:ind w:left="2860" w:right="192" w:hanging="169"/>
              <w:spacing w:before="86" w:line="2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其中，采纳：</w:t>
            </w: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部分采纳：</w:t>
            </w: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18"/>
              </w:rPr>
              <w:t>未采纳：</w:t>
            </w:r>
          </w:p>
        </w:tc>
        <w:tc>
          <w:tcPr>
            <w:tcW w:w="1274" w:type="dxa"/>
            <w:vAlign w:val="top"/>
            <w:gridSpan w:val="2"/>
            <w:tcBorders>
              <w:left w:val="none" w:color="000000" w:sz="8" w:space="0"/>
            </w:tcBorders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195"/>
              <w:spacing w:before="72" w:line="349" w:lineRule="exac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  <w:position w:val="9"/>
              </w:rPr>
              <w:t>项，</w:t>
            </w:r>
          </w:p>
          <w:p>
            <w:pPr>
              <w:ind w:left="146"/>
              <w:spacing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1"/>
              </w:rPr>
              <w:t>项，</w:t>
            </w:r>
          </w:p>
          <w:p>
            <w:pPr>
              <w:ind w:left="93"/>
              <w:spacing w:before="127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项，</w:t>
            </w:r>
          </w:p>
          <w:p>
            <w:pPr>
              <w:ind w:left="48"/>
              <w:spacing w:before="97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项。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0" w:h="11900"/>
          <w:pgMar w:top="400" w:right="1704" w:bottom="0" w:left="1443" w:header="0" w:footer="0" w:gutter="0"/>
        </w:sectPr>
        <w:rPr/>
      </w:pP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before="94" w:line="225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-17"/>
        </w:rPr>
        <w:t>附</w:t>
      </w:r>
      <w:r>
        <w:rPr>
          <w:rFonts w:ascii="SimHei" w:hAnsi="SimHei" w:eastAsia="SimHei" w:cs="SimHei"/>
          <w:sz w:val="29"/>
          <w:szCs w:val="29"/>
          <w:spacing w:val="1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17"/>
        </w:rPr>
        <w:t>8</w:t>
      </w:r>
    </w:p>
    <w:p>
      <w:pPr>
        <w:ind w:left="211"/>
        <w:spacing w:before="161" w:line="219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b/>
          <w:bCs/>
          <w:spacing w:val="-1"/>
        </w:rPr>
        <w:t>襄阳市建设工程咨询服务行业协会团体标准复审意见表</w:t>
      </w:r>
    </w:p>
    <w:p>
      <w:pPr>
        <w:spacing w:line="11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8800" w:type="dxa"/>
        <w:tblInd w:w="15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23"/>
        <w:gridCol w:w="2757"/>
        <w:gridCol w:w="2587"/>
        <w:gridCol w:w="2033"/>
      </w:tblGrid>
      <w:tr>
        <w:trPr>
          <w:trHeight w:val="1244" w:hRule="atLeast"/>
        </w:trPr>
        <w:tc>
          <w:tcPr>
            <w:tcW w:w="1423" w:type="dxa"/>
            <w:vAlign w:val="top"/>
          </w:tcPr>
          <w:p>
            <w:pPr>
              <w:ind w:left="225"/>
              <w:spacing w:before="244" w:line="543" w:lineRule="exact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  <w:position w:val="22"/>
              </w:rPr>
              <w:t>标准编号</w:t>
            </w:r>
          </w:p>
          <w:p>
            <w:pPr>
              <w:ind w:left="225"/>
              <w:spacing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及名称</w:t>
            </w:r>
          </w:p>
        </w:tc>
        <w:tc>
          <w:tcPr>
            <w:tcW w:w="737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59" w:hRule="atLeast"/>
        </w:trPr>
        <w:tc>
          <w:tcPr>
            <w:tcW w:w="1423" w:type="dxa"/>
            <w:vAlign w:val="top"/>
          </w:tcPr>
          <w:p>
            <w:pPr>
              <w:ind w:left="215"/>
              <w:spacing w:before="311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复审结论</w:t>
            </w:r>
          </w:p>
        </w:tc>
        <w:tc>
          <w:tcPr>
            <w:tcW w:w="7377" w:type="dxa"/>
            <w:vAlign w:val="top"/>
            <w:gridSpan w:val="3"/>
          </w:tcPr>
          <w:p>
            <w:pPr>
              <w:ind w:left="421"/>
              <w:spacing w:before="310" w:line="228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继续有效</w:t>
            </w:r>
            <w:r>
              <w:rPr>
                <w:rFonts w:ascii="SimSun" w:hAnsi="SimSun" w:eastAsia="SimSun" w:cs="SimSun"/>
                <w:sz w:val="25"/>
                <w:szCs w:val="25"/>
                <w:spacing w:val="5"/>
              </w:rPr>
              <w:t xml:space="preserve">             </w:t>
            </w: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修订</w:t>
            </w: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 xml:space="preserve">             </w:t>
            </w: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废止</w:t>
            </w:r>
          </w:p>
        </w:tc>
      </w:tr>
      <w:tr>
        <w:trPr>
          <w:trHeight w:val="4507" w:hRule="atLeast"/>
        </w:trPr>
        <w:tc>
          <w:tcPr>
            <w:tcW w:w="1423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404"/>
              <w:spacing w:before="78" w:line="23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2"/>
              </w:rPr>
              <w:t>主要理由</w:t>
            </w:r>
          </w:p>
        </w:tc>
        <w:tc>
          <w:tcPr>
            <w:tcW w:w="737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49" w:hRule="atLeast"/>
        </w:trPr>
        <w:tc>
          <w:tcPr>
            <w:tcW w:w="142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ind w:left="404"/>
              <w:spacing w:before="78" w:line="22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2"/>
              </w:rPr>
              <w:t>审查意见</w:t>
            </w:r>
          </w:p>
        </w:tc>
        <w:tc>
          <w:tcPr>
            <w:tcW w:w="7377" w:type="dxa"/>
            <w:vAlign w:val="top"/>
            <w:gridSpan w:val="3"/>
          </w:tcPr>
          <w:p>
            <w:pPr>
              <w:ind w:left="242"/>
              <w:spacing w:before="30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21"/>
              </w:rPr>
              <w:t>参加审查总人数：</w:t>
            </w:r>
            <w:r>
              <w:rPr>
                <w:rFonts w:ascii="SimSun" w:hAnsi="SimSun" w:eastAsia="SimSun" w:cs="SimSun"/>
                <w:sz w:val="25"/>
                <w:szCs w:val="25"/>
                <w:spacing w:val="17"/>
              </w:rPr>
              <w:t xml:space="preserve">     </w:t>
            </w:r>
            <w:r>
              <w:rPr>
                <w:rFonts w:ascii="SimSun" w:hAnsi="SimSun" w:eastAsia="SimSun" w:cs="SimSun"/>
                <w:sz w:val="25"/>
                <w:szCs w:val="25"/>
                <w:spacing w:val="-21"/>
              </w:rPr>
              <w:t>人</w:t>
            </w:r>
          </w:p>
        </w:tc>
      </w:tr>
      <w:tr>
        <w:trPr>
          <w:trHeight w:val="909" w:hRule="atLeast"/>
        </w:trPr>
        <w:tc>
          <w:tcPr>
            <w:tcW w:w="142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7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211"/>
              <w:spacing w:before="82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34"/>
              </w:rPr>
              <w:t>同意：</w:t>
            </w:r>
            <w:r>
              <w:rPr>
                <w:rFonts w:ascii="SimSun" w:hAnsi="SimSun" w:eastAsia="SimSun" w:cs="SimSun"/>
                <w:sz w:val="25"/>
                <w:szCs w:val="25"/>
                <w:spacing w:val="7"/>
              </w:rPr>
              <w:t xml:space="preserve">    </w:t>
            </w:r>
            <w:r>
              <w:rPr>
                <w:rFonts w:ascii="SimSun" w:hAnsi="SimSun" w:eastAsia="SimSun" w:cs="SimSun"/>
                <w:sz w:val="25"/>
                <w:szCs w:val="25"/>
                <w:spacing w:val="-34"/>
              </w:rPr>
              <w:t>人</w:t>
            </w:r>
          </w:p>
        </w:tc>
        <w:tc>
          <w:tcPr>
            <w:tcW w:w="2587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215"/>
              <w:spacing w:before="82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29"/>
              </w:rPr>
              <w:t>不同意：</w:t>
            </w:r>
            <w:r>
              <w:rPr>
                <w:rFonts w:ascii="SimSun" w:hAnsi="SimSun" w:eastAsia="SimSun" w:cs="SimSun"/>
                <w:sz w:val="25"/>
                <w:szCs w:val="25"/>
                <w:spacing w:val="8"/>
              </w:rPr>
              <w:t xml:space="preserve">     </w:t>
            </w:r>
            <w:r>
              <w:rPr>
                <w:rFonts w:ascii="SimSun" w:hAnsi="SimSun" w:eastAsia="SimSun" w:cs="SimSun"/>
                <w:sz w:val="25"/>
                <w:szCs w:val="25"/>
                <w:spacing w:val="-29"/>
              </w:rPr>
              <w:t>人</w:t>
            </w:r>
          </w:p>
        </w:tc>
        <w:tc>
          <w:tcPr>
            <w:tcW w:w="2033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207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32"/>
              </w:rPr>
              <w:t>弃权：</w:t>
            </w: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 xml:space="preserve">     </w:t>
            </w:r>
            <w:r>
              <w:rPr>
                <w:rFonts w:ascii="SimSun" w:hAnsi="SimSun" w:eastAsia="SimSun" w:cs="SimSun"/>
                <w:sz w:val="25"/>
                <w:szCs w:val="25"/>
                <w:spacing w:val="-32"/>
              </w:rPr>
              <w:t>人</w:t>
            </w:r>
          </w:p>
        </w:tc>
      </w:tr>
      <w:tr>
        <w:trPr>
          <w:trHeight w:val="658" w:hRule="atLeast"/>
        </w:trPr>
        <w:tc>
          <w:tcPr>
            <w:tcW w:w="1423" w:type="dxa"/>
            <w:vAlign w:val="top"/>
            <w:tcBorders>
              <w:bottom w:val="none" w:color="000000" w:sz="2" w:space="0"/>
            </w:tcBorders>
          </w:tcPr>
          <w:p>
            <w:pPr>
              <w:ind w:left="225"/>
              <w:spacing w:before="257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襄阳市建</w:t>
            </w:r>
          </w:p>
        </w:tc>
        <w:tc>
          <w:tcPr>
            <w:tcW w:w="7377" w:type="dxa"/>
            <w:vAlign w:val="top"/>
            <w:gridSpan w:val="3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1423" w:type="dxa"/>
            <w:vAlign w:val="top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ind w:left="225"/>
              <w:spacing w:before="170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设工程咨</w:t>
            </w:r>
          </w:p>
        </w:tc>
        <w:tc>
          <w:tcPr>
            <w:tcW w:w="7377" w:type="dxa"/>
            <w:vAlign w:val="top"/>
            <w:gridSpan w:val="3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1423" w:type="dxa"/>
            <w:vAlign w:val="top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ind w:left="225"/>
              <w:spacing w:before="17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询服务行</w:t>
            </w:r>
          </w:p>
        </w:tc>
        <w:tc>
          <w:tcPr>
            <w:tcW w:w="7377" w:type="dxa"/>
            <w:vAlign w:val="top"/>
            <w:gridSpan w:val="3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ind w:left="5302"/>
              <w:spacing w:before="153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0"/>
              </w:rPr>
              <w:t>(盖公章)</w:t>
            </w:r>
          </w:p>
        </w:tc>
      </w:tr>
      <w:tr>
        <w:trPr>
          <w:trHeight w:val="612" w:hRule="atLeast"/>
        </w:trPr>
        <w:tc>
          <w:tcPr>
            <w:tcW w:w="1423" w:type="dxa"/>
            <w:vAlign w:val="top"/>
            <w:tcBorders>
              <w:top w:val="none" w:color="000000" w:sz="2" w:space="0"/>
            </w:tcBorders>
          </w:tcPr>
          <w:p>
            <w:pPr>
              <w:ind w:left="225"/>
              <w:spacing w:before="179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2"/>
              </w:rPr>
              <w:t>业协会</w:t>
            </w:r>
          </w:p>
        </w:tc>
        <w:tc>
          <w:tcPr>
            <w:tcW w:w="7377" w:type="dxa"/>
            <w:vAlign w:val="top"/>
            <w:gridSpan w:val="3"/>
            <w:tcBorders>
              <w:top w:val="none" w:color="000000" w:sz="2" w:space="0"/>
            </w:tcBorders>
          </w:tcPr>
          <w:p>
            <w:pPr>
              <w:ind w:left="5181"/>
              <w:spacing w:before="15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年</w:t>
            </w:r>
            <w:r>
              <w:rPr>
                <w:rFonts w:ascii="SimSun" w:hAnsi="SimSun" w:eastAsia="SimSun" w:cs="SimSun"/>
                <w:sz w:val="25"/>
                <w:szCs w:val="25"/>
                <w:spacing w:val="18"/>
              </w:rPr>
              <w:t xml:space="preserve">  </w:t>
            </w: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月</w:t>
            </w:r>
            <w:r>
              <w:rPr>
                <w:rFonts w:ascii="SimSun" w:hAnsi="SimSun" w:eastAsia="SimSun" w:cs="SimSun"/>
                <w:sz w:val="25"/>
                <w:szCs w:val="25"/>
                <w:spacing w:val="27"/>
              </w:rPr>
              <w:t xml:space="preserve">   </w:t>
            </w: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日</w:t>
            </w:r>
          </w:p>
        </w:tc>
      </w:tr>
      <w:tr>
        <w:trPr>
          <w:trHeight w:val="1824" w:hRule="atLeast"/>
        </w:trPr>
        <w:tc>
          <w:tcPr>
            <w:tcW w:w="1423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215"/>
              <w:spacing w:before="81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6"/>
              </w:rPr>
              <w:t>备注</w:t>
            </w:r>
          </w:p>
        </w:tc>
        <w:tc>
          <w:tcPr>
            <w:tcW w:w="7377" w:type="dxa"/>
            <w:vAlign w:val="top"/>
            <w:gridSpan w:val="3"/>
          </w:tcPr>
          <w:p>
            <w:pPr>
              <w:ind w:left="242"/>
              <w:spacing w:before="260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2"/>
              </w:rPr>
              <w:t>复审专家名单及签名：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30"/>
          <w:pgMar w:top="400" w:right="1324" w:bottom="0" w:left="1614" w:header="0" w:footer="0" w:gutter="0"/>
        </w:sectPr>
        <w:rPr/>
      </w:pP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before="91" w:line="225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12"/>
          <w:w w:val="98"/>
        </w:rPr>
        <w:t>附</w:t>
      </w:r>
      <w:r>
        <w:rPr>
          <w:rFonts w:ascii="SimHei" w:hAnsi="SimHei" w:eastAsia="SimHei" w:cs="SimHei"/>
          <w:sz w:val="28"/>
          <w:szCs w:val="28"/>
          <w:spacing w:val="18"/>
        </w:rPr>
        <w:t xml:space="preserve"> </w:t>
      </w:r>
      <w:r>
        <w:rPr>
          <w:rFonts w:ascii="SimHei" w:hAnsi="SimHei" w:eastAsia="SimHei" w:cs="SimHei"/>
          <w:sz w:val="28"/>
          <w:szCs w:val="28"/>
          <w:b/>
          <w:bCs/>
          <w:spacing w:val="-12"/>
          <w:w w:val="98"/>
        </w:rPr>
        <w:t>9</w:t>
      </w:r>
    </w:p>
    <w:p>
      <w:pPr>
        <w:ind w:left="20"/>
        <w:spacing w:before="183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3"/>
        </w:rPr>
        <w:t>襄阳市建设工程咨询服务行业协会团体标准项目调整(撤销)</w:t>
      </w:r>
      <w:r>
        <w:rPr>
          <w:rFonts w:ascii="SimSun" w:hAnsi="SimSun" w:eastAsia="SimSun" w:cs="SimSun"/>
          <w:sz w:val="31"/>
          <w:szCs w:val="31"/>
          <w:b/>
          <w:bCs/>
          <w:spacing w:val="-4"/>
        </w:rPr>
        <w:t>申请表</w:t>
      </w:r>
    </w:p>
    <w:p>
      <w:pPr>
        <w:spacing w:line="50" w:lineRule="exact"/>
        <w:rPr/>
      </w:pPr>
      <w:r/>
    </w:p>
    <w:tbl>
      <w:tblPr>
        <w:tblStyle w:val="2"/>
        <w:tblW w:w="8399" w:type="dxa"/>
        <w:tblInd w:w="316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83"/>
        <w:gridCol w:w="3076"/>
        <w:gridCol w:w="1268"/>
        <w:gridCol w:w="2672"/>
      </w:tblGrid>
      <w:tr>
        <w:trPr>
          <w:trHeight w:val="564" w:hRule="atLeast"/>
        </w:trPr>
        <w:tc>
          <w:tcPr>
            <w:tcW w:w="1383" w:type="dxa"/>
            <w:vAlign w:val="top"/>
          </w:tcPr>
          <w:p>
            <w:pPr>
              <w:ind w:left="244"/>
              <w:spacing w:before="22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标准名称</w:t>
            </w:r>
          </w:p>
        </w:tc>
        <w:tc>
          <w:tcPr>
            <w:tcW w:w="3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8" w:type="dxa"/>
            <w:vAlign w:val="top"/>
          </w:tcPr>
          <w:p>
            <w:pPr>
              <w:ind w:left="255"/>
              <w:spacing w:before="23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申请单位</w:t>
            </w:r>
          </w:p>
        </w:tc>
        <w:tc>
          <w:tcPr>
            <w:tcW w:w="26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9" w:hRule="atLeast"/>
        </w:trPr>
        <w:tc>
          <w:tcPr>
            <w:tcW w:w="1383" w:type="dxa"/>
            <w:vAlign w:val="top"/>
          </w:tcPr>
          <w:p>
            <w:pPr>
              <w:ind w:left="214"/>
              <w:spacing w:before="254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联系人</w:t>
            </w:r>
          </w:p>
        </w:tc>
        <w:tc>
          <w:tcPr>
            <w:tcW w:w="3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8" w:type="dxa"/>
            <w:vAlign w:val="top"/>
          </w:tcPr>
          <w:p>
            <w:pPr>
              <w:ind w:left="255"/>
              <w:spacing w:before="244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联系电话</w:t>
            </w:r>
          </w:p>
        </w:tc>
        <w:tc>
          <w:tcPr>
            <w:tcW w:w="26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9" w:hRule="atLeast"/>
        </w:trPr>
        <w:tc>
          <w:tcPr>
            <w:tcW w:w="1383" w:type="dxa"/>
            <w:vAlign w:val="top"/>
          </w:tcPr>
          <w:p>
            <w:pPr>
              <w:ind w:left="244"/>
              <w:spacing w:before="25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申请事项</w:t>
            </w:r>
          </w:p>
        </w:tc>
        <w:tc>
          <w:tcPr>
            <w:tcW w:w="7016" w:type="dxa"/>
            <w:vAlign w:val="top"/>
            <w:gridSpan w:val="3"/>
          </w:tcPr>
          <w:p>
            <w:pPr>
              <w:ind w:left="621"/>
              <w:spacing w:before="27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调整□撤销</w:t>
            </w:r>
          </w:p>
        </w:tc>
      </w:tr>
      <w:tr>
        <w:trPr>
          <w:trHeight w:val="6175" w:hRule="atLeast"/>
        </w:trPr>
        <w:tc>
          <w:tcPr>
            <w:tcW w:w="8399" w:type="dxa"/>
            <w:vAlign w:val="top"/>
            <w:gridSpan w:val="4"/>
          </w:tcPr>
          <w:p>
            <w:pPr>
              <w:ind w:left="364"/>
              <w:spacing w:before="26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申请调整(撤销)的内容、理由和依据：</w:t>
            </w:r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6174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3"/>
              </w:rPr>
              <w:t>(公章)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224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联合申请每个申请单位都应加盖公章，可另附页。</w:t>
            </w:r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right="320"/>
              <w:spacing w:before="78" w:line="219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4"/>
              </w:rPr>
              <w:t>年月日</w:t>
            </w:r>
          </w:p>
        </w:tc>
      </w:tr>
      <w:tr>
        <w:trPr>
          <w:trHeight w:val="3382" w:hRule="atLeast"/>
        </w:trPr>
        <w:tc>
          <w:tcPr>
            <w:tcW w:w="8399" w:type="dxa"/>
            <w:vAlign w:val="top"/>
            <w:gridSpan w:val="4"/>
          </w:tcPr>
          <w:p>
            <w:pPr>
              <w:ind w:left="364"/>
              <w:spacing w:before="27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襄阳市建设工程咨询服务行业协会意见：</w:t>
            </w:r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5964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3"/>
              </w:rPr>
              <w:t>(公章)</w:t>
            </w:r>
          </w:p>
          <w:p>
            <w:pPr>
              <w:ind w:right="258"/>
              <w:spacing w:before="286" w:line="219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月日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0" w:h="16830"/>
      <w:pgMar w:top="400" w:right="1250" w:bottom="0" w:left="1633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jpe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header" Target="header1.xml"/><Relationship Id="rId2" Type="http://schemas.openxmlformats.org/officeDocument/2006/relationships/image" Target="media/image2.png"/><Relationship Id="rId15" Type="http://schemas.openxmlformats.org/officeDocument/2006/relationships/fontTable" Target="fontTable.xml"/><Relationship Id="rId14" Type="http://schemas.openxmlformats.org/officeDocument/2006/relationships/styles" Target="styles.xml"/><Relationship Id="rId13" Type="http://schemas.openxmlformats.org/officeDocument/2006/relationships/settings" Target="settings.xml"/><Relationship Id="rId12" Type="http://schemas.openxmlformats.org/officeDocument/2006/relationships/image" Target="media/image10.jpeg"/><Relationship Id="rId11" Type="http://schemas.openxmlformats.org/officeDocument/2006/relationships/image" Target="media/image9.png"/><Relationship Id="rId10" Type="http://schemas.openxmlformats.org/officeDocument/2006/relationships/header" Target="header2.xml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2023-03-15T11:28:51Z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2023-03-15T11:28:53</vt:filetime>
  </property>
  <property fmtid="{D5CDD505-2E9C-101B-9397-08002B2CF9AE}" pid="4" name="UsrData">
    <vt:lpwstr>64113b670c8b290015fee706</vt:lpwstr>
  </property>
</Properties>
</file>